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7B" w:rsidRPr="00CF30B2" w:rsidRDefault="00EA467B" w:rsidP="00EA467B">
      <w:pPr>
        <w:spacing w:before="120" w:after="0" w:line="300" w:lineRule="auto"/>
        <w:ind w:firstLine="709"/>
        <w:jc w:val="center"/>
        <w:rPr>
          <w:rFonts w:ascii="Times New Roman" w:eastAsia="Calibri" w:hAnsi="Times New Roman" w:cs="Times New Roman"/>
          <w:b/>
          <w:color w:val="FF0000"/>
          <w:sz w:val="28"/>
          <w:szCs w:val="24"/>
        </w:rPr>
      </w:pPr>
      <w:r w:rsidRPr="00CF30B2">
        <w:rPr>
          <w:rFonts w:ascii="Times New Roman" w:eastAsia="Calibri" w:hAnsi="Times New Roman" w:cs="Times New Roman"/>
          <w:b/>
          <w:color w:val="FF0000"/>
          <w:sz w:val="28"/>
          <w:szCs w:val="24"/>
        </w:rPr>
        <w:t>Tam Metin Yazım Kuralları</w:t>
      </w:r>
    </w:p>
    <w:p w:rsidR="00EA467B" w:rsidRPr="00CF30B2" w:rsidRDefault="00EA467B" w:rsidP="00EA467B">
      <w:pPr>
        <w:numPr>
          <w:ilvl w:val="0"/>
          <w:numId w:val="1"/>
        </w:numPr>
        <w:spacing w:before="240" w:after="200" w:line="300" w:lineRule="auto"/>
        <w:ind w:left="709"/>
        <w:contextualSpacing/>
        <w:textAlignment w:val="baseline"/>
        <w:outlineLvl w:val="1"/>
        <w:rPr>
          <w:rFonts w:ascii="Times New Roman" w:eastAsia="Times New Roman" w:hAnsi="Times New Roman" w:cs="Times New Roman"/>
          <w:color w:val="000000"/>
          <w:sz w:val="24"/>
          <w:lang w:eastAsia="ru-RU"/>
        </w:rPr>
      </w:pPr>
      <w:r w:rsidRPr="00CF30B2">
        <w:rPr>
          <w:rFonts w:ascii="Times New Roman" w:eastAsia="Times New Roman" w:hAnsi="Times New Roman" w:cs="Times New Roman"/>
          <w:color w:val="000000"/>
          <w:sz w:val="24"/>
          <w:bdr w:val="none" w:sz="0" w:space="0" w:color="auto" w:frame="1"/>
          <w:lang w:eastAsia="ru-RU"/>
        </w:rPr>
        <w:t>Kenar boşlukları : 2,5 cm</w:t>
      </w:r>
    </w:p>
    <w:p w:rsidR="00EA467B" w:rsidRPr="00CF30B2" w:rsidRDefault="00EA467B" w:rsidP="00EA467B">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Times new roman, 12 punto ile yazınız (Makale başlığı, yazar isimleri, kurumları, mail adresleri, cep telefon numaraları Özet ve anahtar kelimelerin tamamı 12 punto olmalı. Grafik, tablo gibi kısımlar için yazar punto büyüklüğü yazar tarafından en uygun biçimde belirlenebilir)</w:t>
      </w:r>
    </w:p>
    <w:p w:rsidR="00EA467B" w:rsidRPr="00CF30B2" w:rsidRDefault="00EA467B" w:rsidP="00EA467B">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Satır aralığı 1,25 veriniz</w:t>
      </w:r>
    </w:p>
    <w:p w:rsidR="00EA467B" w:rsidRPr="00CF30B2" w:rsidRDefault="00EA467B" w:rsidP="00EA467B">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Paragraf başlarında soldan girinti yapmayınız</w:t>
      </w:r>
    </w:p>
    <w:p w:rsidR="00EA467B" w:rsidRPr="00CF30B2" w:rsidRDefault="00EA467B" w:rsidP="00EA467B">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ANA başlıklar BÜYÜK harfle ve bold yazılmalı</w:t>
      </w:r>
    </w:p>
    <w:p w:rsidR="00EA467B" w:rsidRPr="00CF30B2" w:rsidRDefault="00EA467B" w:rsidP="00EA467B">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Örnek tam metin aşağıda yer almaktadır</w:t>
      </w:r>
    </w:p>
    <w:p w:rsidR="00EA467B" w:rsidRPr="00CF30B2" w:rsidRDefault="00EA467B" w:rsidP="00EA467B">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Dilediğiniz atıf biçimini kullanabilirsiniz</w:t>
      </w:r>
    </w:p>
    <w:p w:rsidR="00EA467B" w:rsidRPr="00CF30B2" w:rsidRDefault="00EA467B" w:rsidP="00EA467B">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Tam metinlerinizin en az 6 sayfa olması gerekmektedir</w:t>
      </w:r>
    </w:p>
    <w:p w:rsidR="00EA467B" w:rsidRPr="00CF30B2" w:rsidRDefault="00EA467B" w:rsidP="00EA467B">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Tam metinlerinizde ÖZET, GİRİŞ, ARAŞTIRMA VE BULGULAR, SONUÇ ve KAYNAKÇA bölümlerinin ayrı başlıklar altında gösterilmesi gerekmektedir</w:t>
      </w:r>
    </w:p>
    <w:p w:rsidR="00EA467B" w:rsidRPr="00CF30B2" w:rsidRDefault="00EA467B" w:rsidP="00EA467B">
      <w:pPr>
        <w:spacing w:before="120" w:after="0" w:line="300" w:lineRule="auto"/>
        <w:jc w:val="center"/>
        <w:rPr>
          <w:rFonts w:ascii="Times New Roman" w:eastAsia="Calibri" w:hAnsi="Times New Roman" w:cs="Times New Roman"/>
          <w:b/>
          <w:color w:val="00B050"/>
          <w:sz w:val="24"/>
          <w:szCs w:val="24"/>
        </w:rPr>
      </w:pPr>
      <w:r w:rsidRPr="00CF30B2">
        <w:rPr>
          <w:rFonts w:ascii="Times New Roman" w:eastAsia="Calibri" w:hAnsi="Times New Roman" w:cs="Times New Roman"/>
          <w:b/>
          <w:color w:val="00B050"/>
          <w:sz w:val="24"/>
          <w:szCs w:val="24"/>
        </w:rPr>
        <w:t>ÖRNEK TAM METİN</w:t>
      </w:r>
    </w:p>
    <w:p w:rsidR="00EA467B" w:rsidRPr="00CF30B2" w:rsidRDefault="00EA467B" w:rsidP="00EA467B">
      <w:pPr>
        <w:spacing w:before="120" w:after="0" w:line="300" w:lineRule="auto"/>
        <w:ind w:firstLine="709"/>
        <w:jc w:val="center"/>
        <w:rPr>
          <w:rFonts w:ascii="Times New Roman" w:eastAsia="Calibri" w:hAnsi="Times New Roman" w:cs="Times New Roman"/>
          <w:b/>
          <w:color w:val="00B050"/>
          <w:sz w:val="24"/>
          <w:szCs w:val="24"/>
        </w:rPr>
      </w:pPr>
    </w:p>
    <w:p w:rsidR="00EA467B" w:rsidRPr="00CF30B2" w:rsidRDefault="00EA467B" w:rsidP="003B08B5">
      <w:pPr>
        <w:spacing w:before="120" w:after="0" w:line="300" w:lineRule="auto"/>
        <w:jc w:val="center"/>
        <w:rPr>
          <w:rFonts w:ascii="Times New Roman" w:eastAsia="Calibri" w:hAnsi="Times New Roman" w:cs="Times New Roman"/>
          <w:b/>
          <w:sz w:val="24"/>
          <w:szCs w:val="24"/>
        </w:rPr>
      </w:pPr>
      <w:r w:rsidRPr="00CF30B2">
        <w:rPr>
          <w:rFonts w:ascii="Times New Roman" w:eastAsia="Calibri" w:hAnsi="Times New Roman" w:cs="Times New Roman"/>
          <w:b/>
          <w:sz w:val="24"/>
          <w:szCs w:val="24"/>
        </w:rPr>
        <w:t>ŞANLIURFA CİCİM DOKUMALARI</w:t>
      </w:r>
    </w:p>
    <w:p w:rsidR="00EA467B" w:rsidRPr="00CF30B2" w:rsidRDefault="00EA467B" w:rsidP="003B08B5">
      <w:pPr>
        <w:spacing w:before="120" w:after="0" w:line="300" w:lineRule="auto"/>
        <w:jc w:val="center"/>
        <w:rPr>
          <w:rFonts w:ascii="Times New Roman" w:eastAsia="Calibri" w:hAnsi="Times New Roman" w:cs="Times New Roman"/>
          <w:b/>
          <w:bCs/>
          <w:color w:val="000000"/>
          <w:sz w:val="24"/>
          <w:szCs w:val="24"/>
          <w:lang w:val="en-US"/>
        </w:rPr>
      </w:pPr>
      <w:r w:rsidRPr="00CF30B2">
        <w:rPr>
          <w:rFonts w:ascii="Times New Roman" w:eastAsia="Calibri" w:hAnsi="Times New Roman" w:cs="Times New Roman"/>
          <w:bCs/>
          <w:color w:val="000000"/>
          <w:sz w:val="24"/>
          <w:szCs w:val="24"/>
          <w:lang w:val="en-US"/>
        </w:rPr>
        <w:t>SANLIURFA CICIM WEAVINGS</w:t>
      </w:r>
      <w:bookmarkStart w:id="0" w:name="_GoBack"/>
      <w:bookmarkEnd w:id="0"/>
    </w:p>
    <w:p w:rsidR="00EA467B" w:rsidRPr="00CF30B2" w:rsidRDefault="00EA467B" w:rsidP="003B08B5">
      <w:pPr>
        <w:spacing w:before="120" w:after="0" w:line="300" w:lineRule="auto"/>
        <w:jc w:val="center"/>
        <w:rPr>
          <w:rFonts w:ascii="Times New Roman" w:eastAsia="Calibri" w:hAnsi="Times New Roman" w:cs="Times New Roman"/>
          <w:b/>
          <w:color w:val="000000"/>
          <w:sz w:val="24"/>
          <w:szCs w:val="24"/>
        </w:rPr>
      </w:pPr>
      <w:r w:rsidRPr="00CF30B2">
        <w:rPr>
          <w:rFonts w:ascii="Times New Roman" w:eastAsia="Calibri" w:hAnsi="Times New Roman" w:cs="Times New Roman"/>
          <w:b/>
          <w:color w:val="000000"/>
          <w:sz w:val="24"/>
          <w:szCs w:val="24"/>
        </w:rPr>
        <w:t>Prof. Dr. Sema ÖZKAN TAĞI</w:t>
      </w:r>
    </w:p>
    <w:p w:rsidR="00EA467B" w:rsidRPr="00CF30B2" w:rsidRDefault="00EA467B" w:rsidP="003B08B5">
      <w:pPr>
        <w:tabs>
          <w:tab w:val="right" w:pos="9638"/>
        </w:tabs>
        <w:spacing w:before="120" w:after="0" w:line="300" w:lineRule="auto"/>
        <w:jc w:val="center"/>
        <w:outlineLvl w:val="0"/>
        <w:rPr>
          <w:rFonts w:ascii="Times New Roman" w:eastAsia="Calibri" w:hAnsi="Times New Roman" w:cs="Times New Roman"/>
          <w:color w:val="000000"/>
          <w:sz w:val="24"/>
          <w:szCs w:val="24"/>
        </w:rPr>
      </w:pPr>
      <w:r w:rsidRPr="00CF30B2">
        <w:rPr>
          <w:rFonts w:ascii="Times New Roman" w:eastAsia="Calibri" w:hAnsi="Times New Roman" w:cs="Times New Roman"/>
          <w:color w:val="000000"/>
          <w:sz w:val="24"/>
          <w:szCs w:val="24"/>
        </w:rPr>
        <w:t>Ankara Hacı Bayram Veli Üniversitesi, Sanat ve Tasarım Fakültesi,</w:t>
      </w:r>
    </w:p>
    <w:p w:rsidR="00EA467B" w:rsidRPr="00CF30B2" w:rsidRDefault="00EA467B" w:rsidP="003B08B5">
      <w:pPr>
        <w:spacing w:before="120" w:after="0" w:line="300" w:lineRule="auto"/>
        <w:jc w:val="center"/>
        <w:rPr>
          <w:rFonts w:ascii="Times New Roman" w:eastAsia="Calibri" w:hAnsi="Times New Roman" w:cs="Times New Roman"/>
          <w:color w:val="000000"/>
          <w:sz w:val="24"/>
          <w:szCs w:val="24"/>
        </w:rPr>
      </w:pPr>
      <w:r w:rsidRPr="00CF30B2">
        <w:rPr>
          <w:rFonts w:ascii="Times New Roman" w:eastAsia="Calibri" w:hAnsi="Times New Roman" w:cs="Times New Roman"/>
          <w:color w:val="000000"/>
          <w:sz w:val="24"/>
          <w:szCs w:val="24"/>
        </w:rPr>
        <w:t>Tekstil Tasarımı Bölümü, Gölbaşı, Ankara.</w:t>
      </w:r>
    </w:p>
    <w:p w:rsidR="00EA467B" w:rsidRPr="00CF30B2" w:rsidRDefault="00D66D35" w:rsidP="003B08B5">
      <w:pPr>
        <w:spacing w:before="120" w:after="0" w:line="300" w:lineRule="auto"/>
        <w:jc w:val="center"/>
        <w:rPr>
          <w:rFonts w:ascii="Times New Roman" w:eastAsia="Calibri" w:hAnsi="Times New Roman" w:cs="Times New Roman"/>
          <w:sz w:val="24"/>
          <w:szCs w:val="24"/>
        </w:rPr>
      </w:pPr>
      <w:hyperlink r:id="rId7" w:history="1">
        <w:r w:rsidR="00EA467B" w:rsidRPr="00CF30B2">
          <w:rPr>
            <w:rFonts w:ascii="Times New Roman" w:eastAsia="Calibri" w:hAnsi="Times New Roman" w:cs="Times New Roman"/>
            <w:color w:val="0563C1"/>
            <w:sz w:val="24"/>
            <w:szCs w:val="24"/>
            <w:u w:val="single"/>
          </w:rPr>
          <w:t>kmkongresi@gmail.com</w:t>
        </w:r>
      </w:hyperlink>
      <w:r w:rsidR="00EA467B" w:rsidRPr="00CF30B2">
        <w:rPr>
          <w:rFonts w:ascii="Times New Roman" w:eastAsia="Calibri" w:hAnsi="Times New Roman" w:cs="Times New Roman"/>
          <w:sz w:val="24"/>
          <w:szCs w:val="24"/>
        </w:rPr>
        <w:t>, 05559991111</w:t>
      </w:r>
    </w:p>
    <w:p w:rsidR="00EA467B" w:rsidRPr="00CF30B2" w:rsidRDefault="00EA467B" w:rsidP="003B08B5">
      <w:pPr>
        <w:spacing w:before="120" w:after="0" w:line="240" w:lineRule="auto"/>
        <w:jc w:val="center"/>
        <w:rPr>
          <w:rFonts w:ascii="Times New Roman" w:eastAsia="Calibri" w:hAnsi="Times New Roman" w:cs="Times New Roman"/>
          <w:sz w:val="24"/>
          <w:szCs w:val="24"/>
          <w:lang w:val="ru-RU"/>
        </w:rPr>
      </w:pPr>
      <w:r w:rsidRPr="00CF30B2">
        <w:rPr>
          <w:rFonts w:ascii="Times New Roman" w:eastAsia="Calibri" w:hAnsi="Times New Roman" w:cs="Times New Roman"/>
          <w:sz w:val="24"/>
          <w:szCs w:val="24"/>
          <w:lang w:val="ru-RU"/>
        </w:rPr>
        <w:t>ORCID NO: 0000-0000-0000-0000</w:t>
      </w:r>
    </w:p>
    <w:p w:rsidR="00EA467B" w:rsidRPr="00CF30B2" w:rsidRDefault="00EA467B" w:rsidP="003B08B5">
      <w:pPr>
        <w:spacing w:before="120" w:after="0" w:line="300" w:lineRule="auto"/>
        <w:jc w:val="center"/>
        <w:rPr>
          <w:rFonts w:ascii="Times New Roman" w:eastAsia="Calibri" w:hAnsi="Times New Roman" w:cs="Times New Roman"/>
          <w:b/>
          <w:color w:val="000000"/>
          <w:sz w:val="24"/>
          <w:szCs w:val="24"/>
        </w:rPr>
      </w:pPr>
      <w:r w:rsidRPr="00CF30B2">
        <w:rPr>
          <w:rFonts w:ascii="Times New Roman" w:eastAsia="Calibri" w:hAnsi="Times New Roman" w:cs="Times New Roman"/>
          <w:b/>
          <w:color w:val="000000"/>
          <w:sz w:val="24"/>
          <w:szCs w:val="24"/>
        </w:rPr>
        <w:t>Doç. Dr. Fatma Nur BAŞARAN</w:t>
      </w:r>
    </w:p>
    <w:p w:rsidR="00EA467B" w:rsidRPr="00CF30B2" w:rsidRDefault="00EA467B" w:rsidP="003B08B5">
      <w:pPr>
        <w:tabs>
          <w:tab w:val="right" w:pos="9638"/>
        </w:tabs>
        <w:spacing w:before="120" w:after="0" w:line="300" w:lineRule="auto"/>
        <w:jc w:val="center"/>
        <w:outlineLvl w:val="0"/>
        <w:rPr>
          <w:rFonts w:ascii="Times New Roman" w:eastAsia="Calibri" w:hAnsi="Times New Roman" w:cs="Times New Roman"/>
          <w:color w:val="000000"/>
          <w:sz w:val="24"/>
          <w:szCs w:val="24"/>
        </w:rPr>
      </w:pPr>
      <w:r w:rsidRPr="00CF30B2">
        <w:rPr>
          <w:rFonts w:ascii="Times New Roman" w:eastAsia="Calibri" w:hAnsi="Times New Roman" w:cs="Times New Roman"/>
          <w:color w:val="000000"/>
          <w:sz w:val="24"/>
          <w:szCs w:val="24"/>
        </w:rPr>
        <w:t>Ankara Hacı Bayram Veli Üniversitesi, Sanat ve Tasarım Fakültesi,</w:t>
      </w:r>
    </w:p>
    <w:p w:rsidR="00EA467B" w:rsidRPr="00CF30B2" w:rsidRDefault="00EA467B" w:rsidP="003B08B5">
      <w:pPr>
        <w:spacing w:before="120" w:after="0" w:line="300" w:lineRule="auto"/>
        <w:jc w:val="center"/>
        <w:rPr>
          <w:rFonts w:ascii="Times New Roman" w:eastAsia="Calibri" w:hAnsi="Times New Roman" w:cs="Times New Roman"/>
          <w:color w:val="000000"/>
          <w:sz w:val="24"/>
          <w:szCs w:val="24"/>
        </w:rPr>
      </w:pPr>
      <w:r w:rsidRPr="00CF30B2">
        <w:rPr>
          <w:rFonts w:ascii="Times New Roman" w:eastAsia="Calibri" w:hAnsi="Times New Roman" w:cs="Times New Roman"/>
          <w:color w:val="000000"/>
          <w:sz w:val="24"/>
          <w:szCs w:val="24"/>
        </w:rPr>
        <w:t>Tekstil Tasarımı Bölümü, Gölbaşı, Ankara.</w:t>
      </w:r>
    </w:p>
    <w:p w:rsidR="00EA467B" w:rsidRPr="00CF30B2" w:rsidRDefault="00D66D35" w:rsidP="003B08B5">
      <w:pPr>
        <w:spacing w:before="120" w:after="0" w:line="300" w:lineRule="auto"/>
        <w:ind w:firstLine="709"/>
        <w:jc w:val="center"/>
        <w:rPr>
          <w:rFonts w:ascii="Times New Roman" w:eastAsia="Calibri" w:hAnsi="Times New Roman" w:cs="Times New Roman"/>
          <w:sz w:val="24"/>
          <w:szCs w:val="24"/>
        </w:rPr>
      </w:pPr>
      <w:hyperlink r:id="rId8" w:history="1">
        <w:r w:rsidR="00EA467B" w:rsidRPr="00CF30B2">
          <w:rPr>
            <w:rFonts w:ascii="Times New Roman" w:eastAsia="Calibri" w:hAnsi="Times New Roman" w:cs="Times New Roman"/>
            <w:color w:val="0563C1"/>
            <w:sz w:val="24"/>
            <w:szCs w:val="24"/>
            <w:u w:val="single"/>
          </w:rPr>
          <w:t>kmkongresi@gmail.com</w:t>
        </w:r>
      </w:hyperlink>
      <w:r w:rsidR="00EA467B" w:rsidRPr="00CF30B2">
        <w:rPr>
          <w:rFonts w:ascii="Times New Roman" w:eastAsia="Calibri" w:hAnsi="Times New Roman" w:cs="Times New Roman"/>
          <w:sz w:val="24"/>
          <w:szCs w:val="24"/>
        </w:rPr>
        <w:t>, 05558881111</w:t>
      </w:r>
    </w:p>
    <w:p w:rsidR="00EA467B" w:rsidRPr="00CF30B2" w:rsidRDefault="00EA467B" w:rsidP="00EA467B">
      <w:pPr>
        <w:spacing w:before="120" w:after="0" w:line="300" w:lineRule="auto"/>
        <w:ind w:firstLine="709"/>
        <w:jc w:val="right"/>
        <w:rPr>
          <w:rFonts w:ascii="Times New Roman" w:eastAsia="Calibri" w:hAnsi="Times New Roman" w:cs="Times New Roman"/>
          <w:sz w:val="24"/>
          <w:szCs w:val="24"/>
        </w:rPr>
      </w:pP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ÖZET</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sosyo-ekonomik düzeye sahip ve 18 yaş üstü 278 evli çift (556 evli birey) ile görüşülerek elde edilmiştir. Araştırmada, sosyoekonomik verilerin yanı sıra </w:t>
      </w:r>
      <w:r w:rsidRPr="00CF30B2">
        <w:rPr>
          <w:rFonts w:ascii="Times New Roman" w:eastAsia="Calibri" w:hAnsi="Times New Roman" w:cs="Times New Roman"/>
          <w:sz w:val="24"/>
          <w:szCs w:val="24"/>
        </w:rPr>
        <w:lastRenderedPageBreak/>
        <w:t xml:space="preserve">araştırmacılar tarafından Türkiye’de geliştirilerek geçerlik ve güvenirlik çalışması yapılmış olan Evlilik Kalitesi Ölçeği (EKÖ), Hilton ve Devall (1997)  tarafından geliştirilen ve araştırmacılar tarafından Türkçe’ye uyarlanan Aile Ekonomik Güçlük Ölçeği (AEGÖ) ve Pines (1996) tarafından geliştirilen ve Çapri (2008) tarafından Türkçe’ye uyarlanan Eş Tükenmişlik Ölçeği (ETÖ) kullanılmıştır. İlk olarak evlilik kalitesi, ekonomik güçlük ve eş tükenmişliği ortalama puanlarının sosyoekonomik değişkenlere göre karşılaştırılması t testi ve Çok Yönlü Varyans Analizi (ANOVA) ile incelenmiş daha sonra eş tükenmişliği ve sosyo-ekonomik değişkenlerle kontrol edildiğinde evli çiftlerin yaşadıkları ekonomik güçlük ile evlilik kaliteleri arasındaki ilişki Linear Regresyon Analizi uygulanarak belirlenmiştir. Bulgular, oturdukları ev kendilerine ait olan, ailesinde otomobili olan evli çiftlerin evlilik kalitesi diğer gruplarla karşılaştırıldığında  daha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kalitelerinin de yükseldiği,  ancak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Anahtar kelimeler: Evli bireyler, çiftler, evlilik kalitesi, aile ekonomik güçlüğü, eş tükenmişliği.</w:t>
      </w:r>
    </w:p>
    <w:p w:rsidR="00EA467B" w:rsidRPr="00CF30B2" w:rsidRDefault="00EA467B" w:rsidP="00EA467B">
      <w:pPr>
        <w:spacing w:before="120" w:after="0" w:line="300" w:lineRule="auto"/>
        <w:outlineLvl w:val="0"/>
        <w:rPr>
          <w:rFonts w:ascii="Times New Roman" w:eastAsia="Calibri" w:hAnsi="Times New Roman" w:cs="Times New Roman"/>
          <w:bCs/>
          <w:color w:val="000000"/>
          <w:sz w:val="24"/>
          <w:szCs w:val="24"/>
        </w:rPr>
      </w:pPr>
      <w:r w:rsidRPr="00CF30B2">
        <w:rPr>
          <w:rFonts w:ascii="Times New Roman" w:eastAsia="Calibri" w:hAnsi="Times New Roman" w:cs="Times New Roman"/>
          <w:b/>
          <w:bCs/>
          <w:color w:val="000000"/>
          <w:sz w:val="24"/>
          <w:szCs w:val="24"/>
        </w:rPr>
        <w:t>ABSTRACT</w:t>
      </w:r>
    </w:p>
    <w:p w:rsidR="00EA467B" w:rsidRPr="00CF30B2" w:rsidRDefault="00EA467B" w:rsidP="00EA467B">
      <w:pPr>
        <w:suppressAutoHyphens/>
        <w:spacing w:before="120" w:after="0" w:line="300" w:lineRule="auto"/>
        <w:jc w:val="both"/>
        <w:rPr>
          <w:rFonts w:ascii="Times New Roman" w:eastAsia="Times New Roman" w:hAnsi="Times New Roman" w:cs="Times New Roman"/>
          <w:color w:val="000000"/>
          <w:sz w:val="24"/>
          <w:szCs w:val="24"/>
          <w:lang w:eastAsia="zh-CN"/>
        </w:rPr>
      </w:pPr>
      <w:r w:rsidRPr="00CF30B2">
        <w:rPr>
          <w:rFonts w:ascii="Times New Roman" w:eastAsia="Times New Roman" w:hAnsi="Times New Roman" w:cs="Times New Roman"/>
          <w:color w:val="000000"/>
          <w:sz w:val="24"/>
          <w:szCs w:val="24"/>
          <w:lang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rsidR="00EA467B" w:rsidRPr="00CF30B2" w:rsidRDefault="00EA467B" w:rsidP="00EA467B">
      <w:pPr>
        <w:suppressAutoHyphens/>
        <w:spacing w:before="120" w:after="0" w:line="300" w:lineRule="auto"/>
        <w:jc w:val="both"/>
        <w:rPr>
          <w:rFonts w:ascii="Times New Roman" w:eastAsia="Times New Roman" w:hAnsi="Times New Roman" w:cs="Times New Roman"/>
          <w:color w:val="000000"/>
          <w:sz w:val="24"/>
          <w:szCs w:val="24"/>
          <w:lang w:eastAsia="zh-CN"/>
        </w:rPr>
      </w:pPr>
      <w:r w:rsidRPr="00CF30B2">
        <w:rPr>
          <w:rFonts w:ascii="Times New Roman" w:eastAsia="Times New Roman" w:hAnsi="Times New Roman" w:cs="Times New Roman"/>
          <w:color w:val="000000"/>
          <w:sz w:val="24"/>
          <w:szCs w:val="24"/>
          <w:lang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rsidR="00EA467B" w:rsidRPr="00CF30B2" w:rsidRDefault="00EA467B" w:rsidP="00EA467B">
      <w:pPr>
        <w:suppressAutoHyphens/>
        <w:spacing w:before="120" w:after="0" w:line="300" w:lineRule="auto"/>
        <w:jc w:val="both"/>
        <w:rPr>
          <w:rFonts w:ascii="Times New Roman" w:eastAsia="Times New Roman" w:hAnsi="Times New Roman" w:cs="Times New Roman"/>
          <w:color w:val="000000"/>
          <w:sz w:val="24"/>
          <w:szCs w:val="24"/>
          <w:lang w:eastAsia="zh-CN"/>
        </w:rPr>
      </w:pPr>
      <w:r w:rsidRPr="00CF30B2">
        <w:rPr>
          <w:rFonts w:ascii="Times New Roman" w:eastAsia="Times New Roman" w:hAnsi="Times New Roman" w:cs="Times New Roman"/>
          <w:color w:val="000000"/>
          <w:sz w:val="24"/>
          <w:szCs w:val="24"/>
          <w:lang w:eastAsia="zh-CN"/>
        </w:rPr>
        <w:t xml:space="preserve">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w:t>
      </w:r>
      <w:r w:rsidRPr="00CF30B2">
        <w:rPr>
          <w:rFonts w:ascii="Times New Roman" w:eastAsia="Times New Roman" w:hAnsi="Times New Roman" w:cs="Times New Roman"/>
          <w:color w:val="000000"/>
          <w:sz w:val="24"/>
          <w:szCs w:val="24"/>
          <w:lang w:eastAsia="zh-CN"/>
        </w:rPr>
        <w:lastRenderedPageBreak/>
        <w:t>produced on three-legged looms. It is used for making wide floor cloths by sewing each other on its long edges or for decorating tents by adding them on short edges.</w:t>
      </w:r>
    </w:p>
    <w:p w:rsidR="00EA467B" w:rsidRPr="00CF30B2" w:rsidRDefault="00EA467B" w:rsidP="00EA467B">
      <w:pPr>
        <w:suppressAutoHyphens/>
        <w:spacing w:before="120" w:after="0" w:line="300" w:lineRule="auto"/>
        <w:jc w:val="both"/>
        <w:rPr>
          <w:rFonts w:ascii="Times New Roman" w:eastAsia="Times New Roman" w:hAnsi="Times New Roman" w:cs="Times New Roman"/>
          <w:color w:val="000000"/>
          <w:sz w:val="24"/>
          <w:szCs w:val="24"/>
          <w:lang w:eastAsia="zh-CN"/>
        </w:rPr>
      </w:pPr>
      <w:r w:rsidRPr="00CF30B2">
        <w:rPr>
          <w:rFonts w:ascii="Times New Roman" w:eastAsia="Times New Roman" w:hAnsi="Times New Roman" w:cs="Times New Roman"/>
          <w:color w:val="000000"/>
          <w:sz w:val="24"/>
          <w:szCs w:val="24"/>
          <w:lang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Times New Roman" w:hAnsi="Times New Roman" w:cs="Times New Roman"/>
          <w:b/>
          <w:color w:val="000000"/>
          <w:sz w:val="24"/>
          <w:szCs w:val="24"/>
          <w:lang w:eastAsia="zh-CN"/>
        </w:rPr>
        <w:t>Keywords</w:t>
      </w:r>
      <w:r w:rsidRPr="00CF30B2">
        <w:rPr>
          <w:rFonts w:ascii="Times New Roman" w:eastAsia="Times New Roman" w:hAnsi="Times New Roman" w:cs="Times New Roman"/>
          <w:color w:val="000000"/>
          <w:sz w:val="24"/>
          <w:szCs w:val="24"/>
          <w:lang w:eastAsia="zh-CN"/>
        </w:rPr>
        <w:t>: Cicim, Şanlıurfa, Cultural Heritage, Traditional Weaving</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GİRİŞ</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(Bird ve Melville, 1994). Evlilik, aile kurmayı ve neslin devamını sağlayan iki insanın daimi bir beraberlik için bir araya gelerek oluşturdukları, hem birbirlerine hem de çocuklarına karşı ortak sorumluluklarını yerine getirmeye söz verdikleri, birbirine bağlı sistemlerden oluşan evrensel bir kurumdur (Saxton, 1982). Diğer kurumlar gibi aile de belli bir toplumsal düzenin ve işleyişin parçasıdır. Toplum düzeninin tarihsel süreçte köklü değişimler yaşaması ile birlikte,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Aile, yerine getirdiği fonksiyonların önemi sebebiyle, toplumsal yapının merkezi unsurları arasında değerlendirilir ve günümüzde de çeşitli risklerle karşı karşıyadır. Bazı bilim insanlarına göre, boşanmaların, tek ebeveynli ailelerin, nikahsız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Castells’in “ataerkil ailenin krizi” olarak nitelediği bu durumlar (Castells,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w:t>
      </w:r>
      <w:r w:rsidRPr="00CF30B2">
        <w:rPr>
          <w:rFonts w:ascii="Times New Roman" w:eastAsia="Calibri" w:hAnsi="Times New Roman" w:cs="Times New Roman"/>
          <w:sz w:val="24"/>
          <w:szCs w:val="24"/>
        </w:rPr>
        <w:lastRenderedPageBreak/>
        <w:t xml:space="preserve">verme iradesine sahip olma, ev işlerini yapma, çocuk bakımı, kişisel özellikler, sosyal katılım, eğitim, iş ve destek durumları açısından incelendiği çalışmalarda daha eşitlikçi rol beklentilerine sahip oldukları görülmüştür. (Botkin, Weeks ve Morris, 2000). Eşlerin birbirlerinden beklentilerinin artması, maddi kaygılar veya zorluklar, duyguların tatmini, eş desteği gibi konular evlilik sürecinde önemli tartışmaların veya çatışmaların nedeni olabilmekte, hatta zaman zaman boşanmaya yol açabilmektedir.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Sağlıklı ailelerin en temel özelliklerinden birisi eşlerin ne denli güçlü ve sağlıklı bir ilişkilerinin olduğudur (Beavers, 1985; Lavee, MeCubbin ve Olson, 1987; Aktaran: Gladding, 2012). Sağlıklı bir evlilikte içten yakınlık, esneklik ve uyumluluk bulunmaktadır (Olson ve Olson, 2000, Aktaran: Gladding,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fedekarlıklar yaparlar, yaptıkları fedakarlıklardan doyum sağlarlar (Stabb, 2005, Aktaran: Gladding, 2012).</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(Sprecher, Metts, Burleson, Hatfield ve Thompson, 1995). Bununla birlikte birbiri ile iletişim kurabilen, paylaşabilen, aileyi ilgilendiren konularda fikir birliği yapabilen ve sorunlarını olumlu bir şekilde çözebilen eşlerin evliliği daha uyumlu bir evlilik olarak tanımlanır (Erbek, Beştepe, Akar, Eradamlar ve Alpkan, 2005).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Birçok bilimsel çalışmada üzerinde durulan temel konulardan birisi “neden bazı evlilikler uzun süre ve başarılı şekilde devam ederken bazı evlilikler kısa süre sonra sonlanmaktadır?” sorusudur (Machaty, 2013). Genel olarak evlilik iki kavramla değerlendirilmektedir: Birincisi “evlilik sürekliliği”;  ikinci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(Acitelli ve Antonucci, 1994, Aktaran: Jensen, Rauer ve Volling, 2013). “Evlilik kalitesi” 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v.b. anlamda ve birbirinin yerine kullanılan veya birbirini kapsayan kavramsal bir karmaşa söz konusudur (Faulkner, </w:t>
      </w:r>
      <w:r w:rsidRPr="00CF30B2">
        <w:rPr>
          <w:rFonts w:ascii="Times New Roman" w:eastAsia="Calibri" w:hAnsi="Times New Roman" w:cs="Times New Roman"/>
          <w:sz w:val="24"/>
          <w:szCs w:val="24"/>
        </w:rPr>
        <w:lastRenderedPageBreak/>
        <w:t xml:space="preserve">Klock ve Gale, 2002; Nabarro, 2004; Aktaran: Kodan-Çetinkaya ve Gençdoğan, 2014). “Evlilik kalitesi” kavramına karşılık daha net ve yaygın olarak kullanılan kavram ise evli çiftlerin “evlilik kalitesi algısı” kavramıdır (Proulx, Helms ve Buehler, 2007). “Evlilik kalitesi”, bireysel iyilik halinin önemli bir yordayıcısı olarak değerlendirilmektedir (Mason, Canlas ve Wang, 2013).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Pew Araştırma Merkezi (2013), Sosyal ve Demografik Eğilimler Projesi kapsamında yapılan “Aşk ve Evlilik” konulu çalışmanın sonuçlarına göre; hem evli olmayan hem de evli bireylerin, en önemli evlenme nedenlerinden birisinin evlilik yaşamlarında kendilerine bir “ekonomik istikrar”  sağlamak olduğu ortaya çıkmıştır. Özgüven’e (2010) göre, her toplumda ve her dönemde evlilik ve aile kurumunun en önemli işlevlerinden birisi de,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(Veenhoven, 2012). Cox,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Hemen tüm toplumlarda insanların evlilik ile ilgili beklenti düzeyleri oldukça yüksektir (Pines ve Nunes, 2003). Kızıldağ (2015), evli olan veya olmayan çiftlerin evlilik ilişkisi ile ilgili önemli 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(Cox,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semptomu olarak tanımlanmıştır.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Evlilikle ilgili yapılan çalışmalar, genellikle kadın ve erkeğin evliliği farklı yaşadıklarını göstermektedirler. Connides (2001)’e göre erkeklere kıyasla kadınlar evlilikten daha düşük düzeyde doyum elde etmektedirler. Benzer şekilde Jackson, Miller, Oka ve Henry (2014) de evlilik ilişkisinde kadınların erkeklerden daha düşük evlilik doyumuna sahip olduklarını ifade etmişlerdir. Tüm bu nedenlerle bu araştırmanın amacı ekonomik faktörlerin evlilik kalitesine etkisini incelemek; eş tükenmişliği ve sosyo-ekonomik faktörlerle kontrol edildiğinde evli çiftlerin yaşadıkları ekonomik güçlük ile evlilik kaliteleri arasındaki ilişkiyi ortaya koymaktır. Ülkemizde bu konuyu ayrıntılı olarak inceleyen ve ulaşılabilen bir çalışmaya rastlanmamıştır. Bu çalışmanın tamamlanması, evlilik ve aile konusundaki mevcut literatüre katkı sağlayacaktır. Bu gerekçelerle Türk kültüründe evlilik kalitesi, aile ekonomik güçlüğü, eş tükenmişliği ve sosyo-ekonomik değişkenler arasındaki ilişkiyi ayrıntılı olarak inceleyen bir çalışmanın </w:t>
      </w:r>
      <w:r w:rsidRPr="00CF30B2">
        <w:rPr>
          <w:rFonts w:ascii="Times New Roman" w:eastAsia="Calibri" w:hAnsi="Times New Roman" w:cs="Times New Roman"/>
          <w:sz w:val="24"/>
          <w:szCs w:val="24"/>
        </w:rPr>
        <w:lastRenderedPageBreak/>
        <w:t>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kültüründe incelenmesi ve diğer değişkenlerle ilişkisinin bir bütünlük içinde ortaya konulması önemli görünmektedir.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(Kwon, Rueter,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(Conger ve diğerleri, 1990).</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YÖNTEM</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 xml:space="preserve">Evren ve Örneklem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Araştırmanın evreni olarak Ankara ilinin farklı sosyo-ekonomik düzeydeki 3 farklı ilçesi seçilmiştir. TÜİK veri tabanından elde edilen gelir, öğrenim düzeyi, okuma-yazma oranı gibi sosyo-ekonomik değişkenlerin dağılımı göz önünde bulundurularak yüksek sosyo-ekonomik düzey için “Çankaya”, orta sosyo-ekonomik düzey için “Yenimahalle”, düşük sosyo-ekonomik düzey için “Altındağ” ilçesi seçilmiştir. Araştırmalarda örneklem büyüklüğünü belirlemek amacıyla çok farklı yöntemler kullanılmaktadır. Örneklemin büyüklüğü, “istenilen güç, alfa düzeyi, yordayıcı sayısı ve beklenen etki gibi konulara bağlıdır”. Çoklu korelasyon testi için N&gt; 50+8m (m bağımsız değişken sayısı) önerilmektedir. Örneğin korelatif bir araştırmada üç bağımsız değişken varsa N= 50+(8X3)= 74 kişiden oluşan bir örneklem büyüklüğü yeterli olacaktır. Bireysel yordayıcıların testi için ise N &gt; 104+m eşitliği kullanılmaktadır (Tabachnick ve Fidel, 2015, s: 123-124).</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lastRenderedPageBreak/>
        <w:t xml:space="preserve">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(dyadic), bağımlı ve bağımsız değişkenler arasındaki korelasyonun orta düzeyde olduğu varsayıldığında örneklem büyüklüğü N= (104+m) x 2= 106 x 2= 212 kişiden oluşmaktadır. Ancak, araştırma kapsamında bu sayının üzerine çıkılarak 278 evli çiftten (556 evli birey) veri toplanmıştır.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Araştırmada uygun örnekleme (convenient sampling) yöntemi seçilmiştir. Uygun örnekleme yöntemi, örneklemin rahat ulaşılabilir ve uygulama yapılabilir birimlerden seçilmesidir (Nakip, 2003). Araştırma yapılacak bölgede öncelikle yetkili bir kişi (muhtar) ile görüşülüp hem araştırma hakkında 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Çalışmaya katılan evli çiftlerin yaşları 21 ile 70 arasında ( = 40.01) değişmektedir. Çiftler 1 ile 45 yıllık evli ( = 14.12 yıl)  olup ailelerinin aylık geliri 900TL ile 31500TL ( = 5457TL) arasında değişmektedir. Bunun yanı sıra evli çiftlerin % 9.2’si ortaokul mezunu iken, % 43.5’i üniversite veya yüksekokul mezunudur. Evli çiftlerin çoğunluğu (% 77.7) hala çalışmaktadır. Çiftlerin % 30’unun 1 çocuğu, % 37.1’inin ise 2 çocuğu bulunmaktadır. Çiftlerin % 75.5’inin oturduğu ev kendisine ait iken, % 69.2’si otomobil sahibidir. Evli çiftlerin sosyo-ekonomik özelliklerine ilişkin bilgiler Tablo 1’de verilmiştir.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b/>
          <w:sz w:val="24"/>
          <w:szCs w:val="24"/>
        </w:rPr>
        <w:t>Tablo 1.</w:t>
      </w:r>
      <w:r w:rsidRPr="00CF30B2">
        <w:rPr>
          <w:rFonts w:ascii="Times New Roman" w:eastAsia="Calibri" w:hAnsi="Times New Roman" w:cs="Times New Roman"/>
          <w:sz w:val="24"/>
          <w:szCs w:val="24"/>
        </w:rPr>
        <w:t xml:space="preserve"> Evli Çiftlerin Sosyo-ekonomik Özellikleri</w:t>
      </w:r>
    </w:p>
    <w:tbl>
      <w:tblPr>
        <w:tblStyle w:val="TableGrid"/>
        <w:tblW w:w="0" w:type="auto"/>
        <w:tblInd w:w="108" w:type="dxa"/>
        <w:tblLook w:val="04A0" w:firstRow="1" w:lastRow="0" w:firstColumn="1" w:lastColumn="0" w:noHBand="0" w:noVBand="1"/>
      </w:tblPr>
      <w:tblGrid>
        <w:gridCol w:w="2166"/>
        <w:gridCol w:w="2267"/>
        <w:gridCol w:w="2262"/>
        <w:gridCol w:w="2259"/>
      </w:tblGrid>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b/>
                <w:sz w:val="24"/>
                <w:szCs w:val="24"/>
              </w:rPr>
            </w:pPr>
            <w:r w:rsidRPr="00CF30B2">
              <w:rPr>
                <w:rFonts w:ascii="Times New Roman" w:eastAsia="Calibri" w:hAnsi="Times New Roman" w:cs="Times New Roman"/>
                <w:b/>
                <w:sz w:val="24"/>
                <w:szCs w:val="24"/>
              </w:rPr>
              <w:t>Sosyo-ekonomik Değişkenler</w:t>
            </w:r>
          </w:p>
        </w:tc>
        <w:tc>
          <w:tcPr>
            <w:tcW w:w="2302" w:type="dxa"/>
          </w:tcPr>
          <w:p w:rsidR="00EA467B" w:rsidRPr="00CF30B2" w:rsidRDefault="00EA467B" w:rsidP="00F47117">
            <w:pPr>
              <w:spacing w:after="200" w:line="276" w:lineRule="auto"/>
              <w:jc w:val="center"/>
              <w:rPr>
                <w:rFonts w:ascii="Times New Roman" w:eastAsia="Calibri" w:hAnsi="Times New Roman" w:cs="Times New Roman"/>
                <w:b/>
                <w:sz w:val="24"/>
                <w:szCs w:val="24"/>
              </w:rPr>
            </w:pPr>
            <w:r w:rsidRPr="00CF30B2">
              <w:rPr>
                <w:rFonts w:ascii="Times New Roman" w:eastAsia="Calibri" w:hAnsi="Times New Roman" w:cs="Times New Roman"/>
                <w:b/>
                <w:sz w:val="24"/>
                <w:szCs w:val="24"/>
              </w:rPr>
              <w:t>Gruplar</w:t>
            </w:r>
          </w:p>
        </w:tc>
        <w:tc>
          <w:tcPr>
            <w:tcW w:w="2303" w:type="dxa"/>
          </w:tcPr>
          <w:p w:rsidR="00EA467B" w:rsidRPr="00CF30B2" w:rsidRDefault="00EA467B" w:rsidP="00F47117">
            <w:pPr>
              <w:spacing w:after="200" w:line="276" w:lineRule="auto"/>
              <w:jc w:val="center"/>
              <w:rPr>
                <w:rFonts w:ascii="Times New Roman" w:eastAsia="Calibri" w:hAnsi="Times New Roman" w:cs="Times New Roman"/>
                <w:b/>
                <w:sz w:val="24"/>
                <w:szCs w:val="24"/>
              </w:rPr>
            </w:pPr>
            <w:r w:rsidRPr="00CF30B2">
              <w:rPr>
                <w:rFonts w:ascii="Times New Roman" w:eastAsia="Calibri" w:hAnsi="Times New Roman" w:cs="Times New Roman"/>
                <w:b/>
                <w:sz w:val="24"/>
                <w:szCs w:val="24"/>
              </w:rPr>
              <w:t>s</w:t>
            </w:r>
          </w:p>
        </w:tc>
        <w:tc>
          <w:tcPr>
            <w:tcW w:w="2303" w:type="dxa"/>
          </w:tcPr>
          <w:p w:rsidR="00EA467B" w:rsidRPr="00CF30B2" w:rsidRDefault="00EA467B" w:rsidP="00F47117">
            <w:pPr>
              <w:spacing w:after="200" w:line="276" w:lineRule="auto"/>
              <w:jc w:val="center"/>
              <w:rPr>
                <w:rFonts w:ascii="Times New Roman" w:eastAsia="Calibri" w:hAnsi="Times New Roman" w:cs="Times New Roman"/>
                <w:b/>
                <w:sz w:val="24"/>
                <w:szCs w:val="24"/>
              </w:rPr>
            </w:pPr>
            <w:r w:rsidRPr="00CF30B2">
              <w:rPr>
                <w:rFonts w:ascii="Times New Roman" w:eastAsia="Calibri" w:hAnsi="Times New Roman" w:cs="Times New Roman"/>
                <w:b/>
                <w:sz w:val="24"/>
                <w:szCs w:val="24"/>
              </w:rPr>
              <w:t>%</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Cinsiyet</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Kadın</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278</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50.0</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Erkek</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278</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50.0</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Öğrenim durumu</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Okur-yazar veya İlkokul</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52</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9.4</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Orta okul</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51</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9.2</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Lise ve dengi okul</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124</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22.3</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Üniversite veya Yüksek okul</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242</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43.5</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Lisans üstü</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87</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15.6</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Çocuk sahibi olma</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Yok</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76</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13.7</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 çocuk</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167</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30.0</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2 çocuk</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206</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37.1</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3 çocuk ve daha fazla</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107</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19.2</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Çalışma durumu</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Çalışan</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432</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77.7</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Çalışmayan</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86</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15.5</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Emekli</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38</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6.8</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Algılanan gelir düzeyi</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Yüksek</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45</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8.1</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Orta</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357</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64.2</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Düşük</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154</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27.7</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Ev sahibi olma</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Var</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420</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75.5</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Yok</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136</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24.5</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Oto. Sahibi olma</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Var</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385</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69.2</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Yok</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171</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30.8</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Min-Max</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Ortalama</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Yaş</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21-70</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40.01</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Gelir</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900TL-31.500TL</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5.457TL</w:t>
            </w:r>
          </w:p>
        </w:tc>
      </w:tr>
      <w:tr w:rsidR="00EA467B" w:rsidRPr="00CF30B2" w:rsidTr="00F47117">
        <w:tc>
          <w:tcPr>
            <w:tcW w:w="2194"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Evlilik süresi</w:t>
            </w:r>
          </w:p>
        </w:tc>
        <w:tc>
          <w:tcPr>
            <w:tcW w:w="2302" w:type="dxa"/>
          </w:tcPr>
          <w:p w:rsidR="00EA467B" w:rsidRPr="00CF30B2" w:rsidRDefault="00EA467B" w:rsidP="00F47117">
            <w:pPr>
              <w:spacing w:after="200" w:line="276" w:lineRule="auto"/>
              <w:jc w:val="center"/>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1-45</w:t>
            </w:r>
          </w:p>
        </w:tc>
        <w:tc>
          <w:tcPr>
            <w:tcW w:w="2303" w:type="dxa"/>
          </w:tcPr>
          <w:p w:rsidR="00EA467B" w:rsidRPr="00CF30B2" w:rsidRDefault="00EA467B" w:rsidP="00F47117">
            <w:pPr>
              <w:spacing w:after="200" w:line="276" w:lineRule="auto"/>
              <w:jc w:val="center"/>
              <w:rPr>
                <w:rFonts w:ascii="Times New Roman" w:eastAsia="Calibri" w:hAnsi="Times New Roman" w:cs="Times New Roman"/>
                <w:sz w:val="24"/>
                <w:szCs w:val="24"/>
              </w:rPr>
            </w:pPr>
            <w:r w:rsidRPr="00CF30B2">
              <w:rPr>
                <w:rFonts w:ascii="Times New Roman" w:eastAsia="Calibri" w:hAnsi="Times New Roman" w:cs="Times New Roman"/>
                <w:sz w:val="24"/>
                <w:szCs w:val="24"/>
              </w:rPr>
              <w:t>14.12</w:t>
            </w:r>
          </w:p>
        </w:tc>
      </w:tr>
    </w:tbl>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Veri Toplama Araçları</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Devall (1997)  tarafından geliştirilen ve bu araştırma kapsamında araştırmacı tarafından Türkçe’ye uyarlama çalışması yapılan Aile Ekonomik Güçlüğü Ölçeği (AEGÖ) kullanılmıştır. Eş tükenmişliğini ölçmek için ise Pines (1996) tarafından geliştirilen ve Çapri (2008) tarafından Türkçe’ye uyarlanan Eş Tükenmişlik Ölçeği (ETÖ) kullanılmıştır. Evli bireylerin sosyo-ekonomik özelliklerine ilişkin veriler araştırmacı tarafından geliştirilen Kişisel Bilgi Formu (KBF) ile elde edilmiştir. </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Bağımlı Değişken</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lastRenderedPageBreak/>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varyansın % 62’sini açıklamaktadır. 1. faktör “uyum”, 2. faktör “bıkkınlık”,  3. faktör “anlayış, destek”, 4. faktör “sevgi”  5. faktör “çatışma” olarak belirlenmiştir. Geliştirilen ölçekte 9 adet reverse (olumsuz/negatif anlamlı cümle) olmak üzere toplam 42 madde bulunmaktadır. Likert tipi üçlü derecelendirmeli olan EKÖ’de betimsel derecelendirmeler, “1= bana uygun değil”, “2= bana kısmen uygun”, “3= bana uygun” şeklinde düzenlenmiştir. EKÖ’den alınabilecek en yüksek puan 126, en düşük puan ise 42’dir. EKÖ’den alınacak yüksek puan, evlilik kalitesinin yüksek olduğu anlamına gelmektedir. Cronbach Alpha katsayısı ise α=.96 bulunmuştur </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Bağımsız Değişkenler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Aile Ekonomik Güçlük Ölçeği (AEGÖ): Aile Ekonomik Güçlük Ölçeği (Family Economic Strain Scale- FESS)  Hilton ve Devall (1997)  tarafından ailelerin yaşadığı ekonomik güçlüğü ölçmek amacı ile geliştirilmiştir. AEGÖ, 12 madde içermektedir. AEGÖ’DE 12 maddenin yanı sıra “…‘deki diğer ailelerle kıyasladığınızda, gelir düzeyinizi nasıl değerlendiriyorsunuz?” şeklinde bir adet de beş seçenekli sorusu bulunmaktadır. AEGÖ, Likert tipi beşli derecelendirmeli (1= Asla, 5= neredeyse her zaman) bir ölçek olup ölçekten alınan yüksek puan ailenin yüksek düzeyde ekonomik güçlük yaşadığı anlamına gelmektedir. Yapılan açıklayıcı Faktör analizi sonucunda tek boyutlu ve Cronbach Alpha güvenirlik katsayısı .92 olarak hesaplanmıştır.  Orijinal çalışma, AEGÖ’nün oldukça güvenilir ve tek faktörlü bir yapıya sahip olduğunu göstermiştir. Bu araştırma kapsamında da ölçeğin Türkçeye uyarlama çalışması yapılmış ve ölçeğin uygulanmasına karar verilmiştir. α= .94</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Eş Tükenmişlik Ölçeği (ETÖ): Eş tükenmişlik ölçeği, hem evlilik öncesi çiftlerin hem de evli çiftlerin ilişkilerinde yaşadıkları tükenmişlik düzeyini ölçmek amacıyla Pines (1996) tarafından geliştirilmiştir. ETÖ, Çapri (2008) tarafından Türkçe’ye uyarlanmıştır. ETÖ’de 21 madde bulunmaktadır. Likert tipi yedili derecelendirmeli (1= hiçbir zaman, 7= her zaman) ve üç boyutlu bir ölçektir. ETÖ üç boyutlu olmasının yanı sıra tek boyutlu olup toplam puan vermektedir (Pines, 1996). Çapri (2008) tarafından ETÖ’nin güvenirliği de incelenmiş ve Cronbach Alpha değerinin ise .94 olduğu belirlenmiştir. Bu çalışma kapsamında toplamda ETÖ’nün ve üç alt ölçeğinin (fiziksel yorgunluk, zihinsel yorgunluk, duygusal yorgunluk) Cronbach Alpha katsayıları 556 evli bireyden elde edilen veriler üzerinde incelenmiştir. İnceleme sonucunda ETÖ’nün Cronbach Alpha katsayıları sırasıyla ETÖ top = .96, Fiz= .88, Duy= .92, Zih= .91 bulunmuştur.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Sosyo-ekonomik Özellikler: Araştırma kapsamında, evli çiftlerin yaş, öğrenim, gelir, algılanan gelir düzeyi, evlilik süresi, çocuk sayısı, çalışma durumu, ev, otomobil sahibi olma gibi sosyo-ekonomik özellikleri hakkında bilgi toplanmıştır.</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Veri Toplama Araçlarının Uygulanması</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lastRenderedPageBreak/>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mekanda çiftlere okunmuş ve yanıtı işaretlenmiştir. Ancak bazı çiftler anket formunu kendisi okuyup doldurmak istemiştir. Ölçme araçlarının doldurulması 20-30 dakika sürmüştür. </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Verilerin Analizi</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Evlilik kalitesi, ekonomik güçlük ve eş tükenmişliği ortalama puanlarının sosyoekonomik değişkenlere göre karşılaştırılması amacıyla t testi ve Çok Yönlü Varyans Analizi (ANOVA) kullanılmıştır. Sosyo-ekonomik faktörlerle kontrol edildiğinde aile ekonomik güçlüğü, eş tükenmişliği ve evlilik kalitesi arasındaki ilişkiyi belirlemek için Linear Regression Analizi kullanılmıştır.</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BULGULAR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Evlilik Kalitesi Ölçeği, Aile Ekonomik Güçlük Ölçeği ve Eş Tükenmişlik Ölçeğine İlişkin Kesme Puanlar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(cut-off point)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aralığı  “düşük”, 31-74 puan aralığı “orta” ve 75-127 puan aralığı ise  “yüksek” olarak belirlenmiştir (Tablo 2).</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b/>
          <w:sz w:val="24"/>
          <w:szCs w:val="24"/>
        </w:rPr>
        <w:t>Tablo 2.</w:t>
      </w:r>
      <w:r w:rsidRPr="00CF30B2">
        <w:rPr>
          <w:rFonts w:ascii="Times New Roman" w:eastAsia="Calibri" w:hAnsi="Times New Roman" w:cs="Times New Roman"/>
          <w:sz w:val="24"/>
          <w:szCs w:val="24"/>
        </w:rPr>
        <w:t xml:space="preserve"> Ölçeklerin Kesme Puan Aralıklarının Dağılımı </w:t>
      </w:r>
    </w:p>
    <w:tbl>
      <w:tblPr>
        <w:tblStyle w:val="TableGrid"/>
        <w:tblW w:w="0" w:type="auto"/>
        <w:tblInd w:w="108" w:type="dxa"/>
        <w:tblLook w:val="04A0" w:firstRow="1" w:lastRow="0" w:firstColumn="1" w:lastColumn="0" w:noHBand="0" w:noVBand="1"/>
      </w:tblPr>
      <w:tblGrid>
        <w:gridCol w:w="8954"/>
      </w:tblGrid>
      <w:tr w:rsidR="00EA467B" w:rsidRPr="00CF30B2" w:rsidTr="00F47117">
        <w:tc>
          <w:tcPr>
            <w:tcW w:w="9102" w:type="dxa"/>
          </w:tcPr>
          <w:p w:rsidR="00EA467B" w:rsidRPr="00CF30B2" w:rsidRDefault="00EA467B" w:rsidP="00F47117">
            <w:pPr>
              <w:spacing w:before="120" w:after="20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TOPLAM</w:t>
            </w:r>
            <w:r w:rsidRPr="00CF30B2">
              <w:rPr>
                <w:rFonts w:ascii="Times New Roman" w:eastAsia="Calibri" w:hAnsi="Times New Roman" w:cs="Times New Roman"/>
                <w:sz w:val="24"/>
                <w:szCs w:val="24"/>
              </w:rPr>
              <w:tab/>
              <w:t>N</w:t>
            </w:r>
            <w:r w:rsidRPr="00CF30B2">
              <w:rPr>
                <w:rFonts w:ascii="Times New Roman" w:eastAsia="Calibri" w:hAnsi="Times New Roman" w:cs="Times New Roman"/>
                <w:sz w:val="24"/>
                <w:szCs w:val="24"/>
              </w:rPr>
              <w:tab/>
              <w:t>Min.</w:t>
            </w:r>
            <w:r w:rsidRPr="00CF30B2">
              <w:rPr>
                <w:rFonts w:ascii="Times New Roman" w:eastAsia="Calibri" w:hAnsi="Times New Roman" w:cs="Times New Roman"/>
                <w:sz w:val="24"/>
                <w:szCs w:val="24"/>
              </w:rPr>
              <w:tab/>
              <w:t>Max.</w:t>
            </w:r>
            <w:r w:rsidRPr="00CF30B2">
              <w:rPr>
                <w:rFonts w:ascii="Times New Roman" w:eastAsia="Calibri" w:hAnsi="Times New Roman" w:cs="Times New Roman"/>
                <w:sz w:val="24"/>
                <w:szCs w:val="24"/>
              </w:rPr>
              <w:tab/>
              <w:t>Ort.</w:t>
            </w:r>
            <w:r w:rsidRPr="00CF30B2">
              <w:rPr>
                <w:rFonts w:ascii="Times New Roman" w:eastAsia="Calibri" w:hAnsi="Times New Roman" w:cs="Times New Roman"/>
                <w:sz w:val="24"/>
                <w:szCs w:val="24"/>
              </w:rPr>
              <w:tab/>
              <w:t>Ss</w:t>
            </w:r>
            <w:r w:rsidRPr="00CF30B2">
              <w:rPr>
                <w:rFonts w:ascii="Times New Roman" w:eastAsia="Calibri" w:hAnsi="Times New Roman" w:cs="Times New Roman"/>
                <w:sz w:val="24"/>
                <w:szCs w:val="24"/>
              </w:rPr>
              <w:tab/>
              <w:t>Ortalamanın 1ss altı puan</w:t>
            </w:r>
            <w:r w:rsidRPr="00CF30B2">
              <w:rPr>
                <w:rFonts w:ascii="Times New Roman" w:eastAsia="Calibri" w:hAnsi="Times New Roman" w:cs="Times New Roman"/>
                <w:sz w:val="24"/>
                <w:szCs w:val="24"/>
              </w:rPr>
              <w:tab/>
              <w:t>Ortalamanın</w:t>
            </w:r>
          </w:p>
        </w:tc>
      </w:tr>
      <w:tr w:rsidR="00EA467B" w:rsidRPr="00CF30B2" w:rsidTr="00F47117">
        <w:tc>
          <w:tcPr>
            <w:tcW w:w="9102" w:type="dxa"/>
          </w:tcPr>
          <w:p w:rsidR="00EA467B" w:rsidRPr="00CF30B2" w:rsidRDefault="00EA467B" w:rsidP="00F47117">
            <w:pPr>
              <w:spacing w:before="120" w:after="20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1ss üstü puan</w:t>
            </w:r>
          </w:p>
        </w:tc>
      </w:tr>
      <w:tr w:rsidR="00EA467B" w:rsidRPr="00CF30B2" w:rsidTr="00F47117">
        <w:tc>
          <w:tcPr>
            <w:tcW w:w="9102" w:type="dxa"/>
          </w:tcPr>
          <w:p w:rsidR="00EA467B" w:rsidRPr="00CF30B2" w:rsidRDefault="00EA467B" w:rsidP="00F47117">
            <w:pPr>
              <w:spacing w:before="120" w:after="20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EKÖ TOP</w:t>
            </w:r>
            <w:r w:rsidRPr="00CF30B2">
              <w:rPr>
                <w:rFonts w:ascii="Times New Roman" w:eastAsia="Calibri" w:hAnsi="Times New Roman" w:cs="Times New Roman"/>
                <w:sz w:val="24"/>
                <w:szCs w:val="24"/>
              </w:rPr>
              <w:tab/>
              <w:t>556</w:t>
            </w:r>
            <w:r w:rsidRPr="00CF30B2">
              <w:rPr>
                <w:rFonts w:ascii="Times New Roman" w:eastAsia="Calibri" w:hAnsi="Times New Roman" w:cs="Times New Roman"/>
                <w:sz w:val="24"/>
                <w:szCs w:val="24"/>
              </w:rPr>
              <w:tab/>
              <w:t>59.00</w:t>
            </w:r>
            <w:r w:rsidRPr="00CF30B2">
              <w:rPr>
                <w:rFonts w:ascii="Times New Roman" w:eastAsia="Calibri" w:hAnsi="Times New Roman" w:cs="Times New Roman"/>
                <w:sz w:val="24"/>
                <w:szCs w:val="24"/>
              </w:rPr>
              <w:tab/>
              <w:t>126.00</w:t>
            </w:r>
            <w:r w:rsidRPr="00CF30B2">
              <w:rPr>
                <w:rFonts w:ascii="Times New Roman" w:eastAsia="Calibri" w:hAnsi="Times New Roman" w:cs="Times New Roman"/>
                <w:sz w:val="24"/>
                <w:szCs w:val="24"/>
              </w:rPr>
              <w:tab/>
              <w:t>106.94</w:t>
            </w:r>
            <w:r w:rsidRPr="00CF30B2">
              <w:rPr>
                <w:rFonts w:ascii="Times New Roman" w:eastAsia="Calibri" w:hAnsi="Times New Roman" w:cs="Times New Roman"/>
                <w:sz w:val="24"/>
                <w:szCs w:val="24"/>
              </w:rPr>
              <w:tab/>
              <w:t>16.71</w:t>
            </w:r>
            <w:r w:rsidRPr="00CF30B2">
              <w:rPr>
                <w:rFonts w:ascii="Times New Roman" w:eastAsia="Calibri" w:hAnsi="Times New Roman" w:cs="Times New Roman"/>
                <w:sz w:val="24"/>
                <w:szCs w:val="24"/>
              </w:rPr>
              <w:tab/>
              <w:t>90.22= 90</w:t>
            </w:r>
            <w:r w:rsidRPr="00CF30B2">
              <w:rPr>
                <w:rFonts w:ascii="Times New Roman" w:eastAsia="Calibri" w:hAnsi="Times New Roman" w:cs="Times New Roman"/>
                <w:sz w:val="24"/>
                <w:szCs w:val="24"/>
              </w:rPr>
              <w:tab/>
              <w:t>123.66=124</w:t>
            </w:r>
          </w:p>
        </w:tc>
      </w:tr>
      <w:tr w:rsidR="00EA467B" w:rsidRPr="00CF30B2" w:rsidTr="00F47117">
        <w:tc>
          <w:tcPr>
            <w:tcW w:w="9102" w:type="dxa"/>
          </w:tcPr>
          <w:p w:rsidR="00EA467B" w:rsidRPr="00CF30B2" w:rsidRDefault="00EA467B" w:rsidP="00F47117">
            <w:pPr>
              <w:spacing w:before="120" w:after="20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lastRenderedPageBreak/>
              <w:t>AEGÖ TOP</w:t>
            </w:r>
            <w:r w:rsidRPr="00CF30B2">
              <w:rPr>
                <w:rFonts w:ascii="Times New Roman" w:eastAsia="Calibri" w:hAnsi="Times New Roman" w:cs="Times New Roman"/>
                <w:sz w:val="24"/>
                <w:szCs w:val="24"/>
              </w:rPr>
              <w:tab/>
              <w:t>556</w:t>
            </w:r>
            <w:r w:rsidRPr="00CF30B2">
              <w:rPr>
                <w:rFonts w:ascii="Times New Roman" w:eastAsia="Calibri" w:hAnsi="Times New Roman" w:cs="Times New Roman"/>
                <w:sz w:val="24"/>
                <w:szCs w:val="24"/>
              </w:rPr>
              <w:tab/>
              <w:t>12.00</w:t>
            </w:r>
            <w:r w:rsidRPr="00CF30B2">
              <w:rPr>
                <w:rFonts w:ascii="Times New Roman" w:eastAsia="Calibri" w:hAnsi="Times New Roman" w:cs="Times New Roman"/>
                <w:sz w:val="24"/>
                <w:szCs w:val="24"/>
              </w:rPr>
              <w:tab/>
              <w:t>60.00</w:t>
            </w:r>
            <w:r w:rsidRPr="00CF30B2">
              <w:rPr>
                <w:rFonts w:ascii="Times New Roman" w:eastAsia="Calibri" w:hAnsi="Times New Roman" w:cs="Times New Roman"/>
                <w:sz w:val="24"/>
                <w:szCs w:val="24"/>
              </w:rPr>
              <w:tab/>
              <w:t>27.62</w:t>
            </w:r>
            <w:r w:rsidRPr="00CF30B2">
              <w:rPr>
                <w:rFonts w:ascii="Times New Roman" w:eastAsia="Calibri" w:hAnsi="Times New Roman" w:cs="Times New Roman"/>
                <w:sz w:val="24"/>
                <w:szCs w:val="24"/>
              </w:rPr>
              <w:tab/>
              <w:t>10.06</w:t>
            </w:r>
            <w:r w:rsidRPr="00CF30B2">
              <w:rPr>
                <w:rFonts w:ascii="Times New Roman" w:eastAsia="Calibri" w:hAnsi="Times New Roman" w:cs="Times New Roman"/>
                <w:sz w:val="24"/>
                <w:szCs w:val="24"/>
              </w:rPr>
              <w:tab/>
              <w:t>17.55= 18</w:t>
            </w:r>
            <w:r w:rsidRPr="00CF30B2">
              <w:rPr>
                <w:rFonts w:ascii="Times New Roman" w:eastAsia="Calibri" w:hAnsi="Times New Roman" w:cs="Times New Roman"/>
                <w:sz w:val="24"/>
                <w:szCs w:val="24"/>
              </w:rPr>
              <w:tab/>
              <w:t>37.68= 38</w:t>
            </w:r>
          </w:p>
        </w:tc>
      </w:tr>
      <w:tr w:rsidR="00EA467B" w:rsidRPr="00CF30B2" w:rsidTr="00F47117">
        <w:tc>
          <w:tcPr>
            <w:tcW w:w="9102" w:type="dxa"/>
          </w:tcPr>
          <w:p w:rsidR="00EA467B" w:rsidRPr="00CF30B2" w:rsidRDefault="00EA467B" w:rsidP="00F47117">
            <w:pPr>
              <w:spacing w:before="120" w:after="20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ETÖ TOP</w:t>
            </w:r>
            <w:r w:rsidRPr="00CF30B2">
              <w:rPr>
                <w:rFonts w:ascii="Times New Roman" w:eastAsia="Calibri" w:hAnsi="Times New Roman" w:cs="Times New Roman"/>
                <w:sz w:val="24"/>
                <w:szCs w:val="24"/>
              </w:rPr>
              <w:tab/>
              <w:t>556</w:t>
            </w:r>
            <w:r w:rsidRPr="00CF30B2">
              <w:rPr>
                <w:rFonts w:ascii="Times New Roman" w:eastAsia="Calibri" w:hAnsi="Times New Roman" w:cs="Times New Roman"/>
                <w:sz w:val="24"/>
                <w:szCs w:val="24"/>
              </w:rPr>
              <w:tab/>
              <w:t>21.00</w:t>
            </w:r>
            <w:r w:rsidRPr="00CF30B2">
              <w:rPr>
                <w:rFonts w:ascii="Times New Roman" w:eastAsia="Calibri" w:hAnsi="Times New Roman" w:cs="Times New Roman"/>
                <w:sz w:val="24"/>
                <w:szCs w:val="24"/>
              </w:rPr>
              <w:tab/>
              <w:t>127.00</w:t>
            </w:r>
            <w:r w:rsidRPr="00CF30B2">
              <w:rPr>
                <w:rFonts w:ascii="Times New Roman" w:eastAsia="Calibri" w:hAnsi="Times New Roman" w:cs="Times New Roman"/>
                <w:sz w:val="24"/>
                <w:szCs w:val="24"/>
              </w:rPr>
              <w:tab/>
              <w:t>52.57</w:t>
            </w:r>
            <w:r w:rsidRPr="00CF30B2">
              <w:rPr>
                <w:rFonts w:ascii="Times New Roman" w:eastAsia="Calibri" w:hAnsi="Times New Roman" w:cs="Times New Roman"/>
                <w:sz w:val="24"/>
                <w:szCs w:val="24"/>
              </w:rPr>
              <w:tab/>
              <w:t>22.37</w:t>
            </w:r>
            <w:r w:rsidRPr="00CF30B2">
              <w:rPr>
                <w:rFonts w:ascii="Times New Roman" w:eastAsia="Calibri" w:hAnsi="Times New Roman" w:cs="Times New Roman"/>
                <w:sz w:val="24"/>
                <w:szCs w:val="24"/>
              </w:rPr>
              <w:tab/>
              <w:t>30.20= 30</w:t>
            </w:r>
            <w:r w:rsidRPr="00CF30B2">
              <w:rPr>
                <w:rFonts w:ascii="Times New Roman" w:eastAsia="Calibri" w:hAnsi="Times New Roman" w:cs="Times New Roman"/>
                <w:sz w:val="24"/>
                <w:szCs w:val="24"/>
              </w:rPr>
              <w:tab/>
              <w:t>74.94= 75</w:t>
            </w:r>
          </w:p>
        </w:tc>
      </w:tr>
    </w:tbl>
    <w:p w:rsidR="00EA467B" w:rsidRPr="00CF30B2" w:rsidRDefault="00EA467B" w:rsidP="00EA467B">
      <w:pPr>
        <w:spacing w:before="120" w:after="0" w:line="300" w:lineRule="auto"/>
        <w:jc w:val="both"/>
        <w:rPr>
          <w:rFonts w:ascii="Times New Roman" w:eastAsia="Calibri" w:hAnsi="Times New Roman" w:cs="Times New Roman"/>
          <w:sz w:val="24"/>
          <w:szCs w:val="24"/>
        </w:rPr>
      </w:pP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Evli Çiftlerin Ölçek Kesme Puan Ortalamalarının Cinsiyete Göre Dağılımı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Tablo 3’de görüleceği üzere, bu araştırmanın verileri kapsamında, kadınların %22.7’si düşük evlilik kalitesine; %71.2’si orta ve % 6.1’i ise yüksek düzeyde evlilik kalitesine sahiptir. Tablo 21’de görüleceği gibi, bu araştırmanın verileri kapsamında, kadınların %20.9’u düşük; %62.2’si orta ve % 16.9’u ise yüksek düzeyde aile ekonomik güçlüğü yaşamaktadır. Tablo 22’de görüleceği gibi, bu araştırmanın verileri kapsamında, kadınların %16.5’inin düşük; %67.3’ünün orta ve % 16.2’sinin ise yüksek düzeyde eş tükenmişliği yaşadığı anlaşılmaktadır.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b/>
          <w:sz w:val="24"/>
          <w:szCs w:val="24"/>
        </w:rPr>
        <w:t>Tablo 3.</w:t>
      </w:r>
      <w:r w:rsidRPr="00CF30B2">
        <w:rPr>
          <w:rFonts w:ascii="Times New Roman" w:eastAsia="Calibri" w:hAnsi="Times New Roman" w:cs="Times New Roman"/>
          <w:sz w:val="24"/>
          <w:szCs w:val="24"/>
        </w:rPr>
        <w:t xml:space="preserve"> Kadınların Ölçeklere İlişkin Ortalama Puanları</w:t>
      </w:r>
    </w:p>
    <w:tbl>
      <w:tblPr>
        <w:tblStyle w:val="TableGrid"/>
        <w:tblW w:w="0" w:type="auto"/>
        <w:tblInd w:w="108" w:type="dxa"/>
        <w:tblLook w:val="04A0" w:firstRow="1" w:lastRow="0" w:firstColumn="1" w:lastColumn="0" w:noHBand="0" w:noVBand="1"/>
      </w:tblPr>
      <w:tblGrid>
        <w:gridCol w:w="1496"/>
        <w:gridCol w:w="1502"/>
        <w:gridCol w:w="1497"/>
        <w:gridCol w:w="1479"/>
        <w:gridCol w:w="1490"/>
        <w:gridCol w:w="1490"/>
      </w:tblGrid>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Ölçekler</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Gruplar</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Ort.</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N</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Ss</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 </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Evlilik Kalitesi</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Düşük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80.22</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63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7.50</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22.7</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Orta</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112.90</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198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9.81</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71.2</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Yüksek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125.29</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17</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.46</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6.1</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Toplam</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106.25</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278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17.00</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100,0</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Aile Ekonomik Güçlüğü</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Düşük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15.00</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2.25</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20.9</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Orta</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27.53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173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5.39</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62.2</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Yüksek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43.68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47</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4.86</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16.9</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Toplam</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27.65</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278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10.00</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100,0</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Eş Tükenmişliği</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Düşük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25.76</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46</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2.80</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16.5</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Orta</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52.03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187</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12.98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67.3</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Yüksek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92.00</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45</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11.97</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16.2</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Toplam</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54.15</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278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22.51</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100.0</w:t>
            </w:r>
          </w:p>
        </w:tc>
      </w:tr>
    </w:tbl>
    <w:p w:rsidR="00EA467B" w:rsidRPr="00CF30B2" w:rsidRDefault="00EA467B" w:rsidP="00EA467B">
      <w:pPr>
        <w:spacing w:before="120" w:after="0" w:line="300" w:lineRule="auto"/>
        <w:jc w:val="both"/>
        <w:rPr>
          <w:rFonts w:ascii="Times New Roman" w:eastAsia="Calibri" w:hAnsi="Times New Roman" w:cs="Times New Roman"/>
          <w:sz w:val="24"/>
          <w:szCs w:val="24"/>
        </w:rPr>
      </w:pP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lastRenderedPageBreak/>
        <w:t>Tablo 4’de görüleceği üzere, bu araştırmanın verileri kapsamında, erkeklerin %19.4’ü düşük; %72.3’ü orta ve %8.3’ü ise yüksek düzeyde evlilik kalitesine sahiptir. Tablo 24’de görüleceği üzere, bu araştırmanın verileri kapsamında, erkeklerin %19.8’i düşük; %62.2’si orta ve %18’i ise yüksek düzeyde aile ekonomik güçlüğü yaşamaktadır. Tablo 25’de görüleceği üzere, bu araştırmanın verileri kapsamında, erkeklerin %21.9’u düşük; % 64’ü orta ve % 14’ü ise yüksek düzeyde eş tükenmişliği yaşamaktadır.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b/>
          <w:sz w:val="24"/>
          <w:szCs w:val="24"/>
        </w:rPr>
        <w:t>Tablo 4.</w:t>
      </w:r>
      <w:r w:rsidRPr="00CF30B2">
        <w:rPr>
          <w:rFonts w:ascii="Times New Roman" w:eastAsia="Calibri" w:hAnsi="Times New Roman" w:cs="Times New Roman"/>
          <w:sz w:val="24"/>
          <w:szCs w:val="24"/>
        </w:rPr>
        <w:t xml:space="preserve"> Erkeklerin Ölçeklere İlişkin Ortalama Puanları</w:t>
      </w:r>
    </w:p>
    <w:tbl>
      <w:tblPr>
        <w:tblStyle w:val="TableGrid"/>
        <w:tblW w:w="0" w:type="auto"/>
        <w:tblInd w:w="108" w:type="dxa"/>
        <w:tblLook w:val="04A0" w:firstRow="1" w:lastRow="0" w:firstColumn="1" w:lastColumn="0" w:noHBand="0" w:noVBand="1"/>
      </w:tblPr>
      <w:tblGrid>
        <w:gridCol w:w="1496"/>
        <w:gridCol w:w="1502"/>
        <w:gridCol w:w="1497"/>
        <w:gridCol w:w="1479"/>
        <w:gridCol w:w="1490"/>
        <w:gridCol w:w="1490"/>
      </w:tblGrid>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Ölçekler</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Gruplar</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Ort.</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N</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Ss</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 </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Evlilik Kalitesi</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Düşük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79.98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54</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7.48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19.4</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Orta</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113.03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201</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9.32</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72.3</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Yüksek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125.34</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8.3</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Toplam</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107.63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278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16.42</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100.0</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Aile Ekonomik Güçlüğü</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Düşük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14.58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55</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2.25</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19.8</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Orta</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27.01</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173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4.83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62.2</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Yüksek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43.88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50</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5.56</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18.0</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Toplam</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27.58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278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10.13</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100.0</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Eş Tükenmişliği</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Düşük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24.81</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61</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2.92</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21.9</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Orta</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51.48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178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12.96</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64.1</w:t>
            </w:r>
          </w:p>
        </w:tc>
      </w:tr>
      <w:tr w:rsidR="00EA467B" w:rsidRPr="00CF30B2" w:rsidTr="00F47117">
        <w:tc>
          <w:tcPr>
            <w:tcW w:w="1427"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Yüksek</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89.66</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39</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12.08</w:t>
            </w:r>
          </w:p>
        </w:tc>
        <w:tc>
          <w:tcPr>
            <w:tcW w:w="1535"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14.0</w:t>
            </w:r>
          </w:p>
        </w:tc>
      </w:tr>
    </w:tbl>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Evlilik Kalitesi, Eş Tükenmişliği Ve Aile Ekonomik Güçlüğü Ortalama Puanlarının Sosyo-Ekonomik Değişkenlere Göre Karşılaştırılmasına İlişkin Bulgular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Evli çiftlerin  “evlilik kalitesi”, “eş tükenmişliği” ve “aile ekonomik güçlüğü”  değişkenlerinin ortalama puanlarının sosyo-ekonomik değişkenlerine göre karşılaştırılmasına ilişkin istatistikler ( , n, Ss, t, p) Tablo 5’de verilmiştir. Bu amaçla, bağımsız değişkenler olarak, “cinsiyet”, “yaş”, “öğrenim durumu”, “evlilik süresi”, “çocuk sayısı”, “çalışma durumu”, “ aylık aile geliri”, “algılanan gelir düzeyi”, “ev sahibi olma”, “otomobil sahibi olma” değişkenleri seçilmiştir. Tablo 5’de görüldüğü gibi,  sosyo- ekonomik değişkenlere göre evli çiftlerin “evlilik kalitesi”, “eş tükenmişliği” ve “aile ekonomik güçlüğü”  değişkenlerine ilişkin ortalamalar arasında farklar gözlenmektedir. Ortalamalar arasında gözlenen bu farkların anlamlı olup olmadığını test etmek amacıyla, grup sayısı iki olan (cinsiyet, ev, otomobil sahibi </w:t>
      </w:r>
      <w:r w:rsidRPr="00CF30B2">
        <w:rPr>
          <w:rFonts w:ascii="Times New Roman" w:eastAsia="Calibri" w:hAnsi="Times New Roman" w:cs="Times New Roman"/>
          <w:sz w:val="24"/>
          <w:szCs w:val="24"/>
        </w:rPr>
        <w:lastRenderedPageBreak/>
        <w:t>olma) değişkenler için t testi; grup sayısı ikiden fazla olan diğer değişkenler için ise Çok Yönlü Varyans Analizi (ANOVA) uygulanmıştır. ANOVA sonucunda F değeri anlamlı çıkan değişkenlere ilişkin Post-Hoc Testi uygulanmıştır. Hata varyanslarının eşit olduğu durumlar için Tukey Testi, hata varyanslarının eşit olmadığı durumlar için ise Tamhane’s T2 Testi seçilmiştir. “Evlilik kalitesi”, “eş tükenmişliği” ve “aile ekonomik güçlüğü” değişkenlerine ilişkin önce t testi sonuçları verilmiş, daha sonra Post-Hoc Testi sonuçları sırasıyla verilmiştir.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Tablo 5’de görüleceği gibi, cinsiyetlerine göre evli çiftlerin “evlilik kalitesi” puan ortalamaları arasında anlamlı farklar çıkmamıştır (t= -.97, p&gt; .05). Bunun yanı sıra, evli çiftlerin evlilik kalitesi yaş, evlilik süresi ve aylık aile gelirine göre de anlamlı olarak değişmemektedir. Ev sahibi olan evli çiftlerin evlilik kalitesi puan ortalaması ( = 107.89), ev sahibi olmayan evli çiftlerin puan ortalamasından ( = 104.01) anlamlı olarak daha yüksek bulunmuştur (t= 2.36, p&lt; .05). Otomobil sahibi olan evli çiftlerin evlilik kalitesi puan ortalaması ( = 111.70) otomobil sahibi olmayan evli çiftlerin evlilik kalitesi puan ortalamasından anlamlı olarak daha yüksek bulunmuştur (t= 11.12, p&lt; .05) (Tablo 5).</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Tablo 5’de görüleceği üzere, evli çiftlerin öğrenim düzeyi yükseldikçe evlilik kalitesi puan ortalamalarının da yükseldiği gözlenmektedir (F= 7.10,  p&lt; .05).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evlilik kalitesinden daha düşük bulunmuştur. Genel olarak, ilkokul ve altı ile ortaokul mezunu evli çiftlerin; ortaokul ile lise mezunlarının;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p&lt; .05).  Post-Hoc Testi sonuçlarına göre, bu farklılık  hiç çocuğu olmayan evli çiftlerin evlilik kalitesi puan ortalaması ile çocuğu olan diğer grupların ortalamalarından anlamlı olarak yüksek çıkmıştır. Üç ve daha fazla çocuğu olan evli çiftlerin evlilik kalitesi puan ortalamaları hiç 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p&lt; .05).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dayanarak, gelir sağlayıcı bir işte çalışan ile emekli olmuş evli çiftlerin evlilik kalitesi bakımından çalışmayanlara kıyasla daha avantajlı olduğu söylenebilir. Evli çiftlerin evlilik </w:t>
      </w:r>
      <w:r w:rsidRPr="00CF30B2">
        <w:rPr>
          <w:rFonts w:ascii="Times New Roman" w:eastAsia="Calibri" w:hAnsi="Times New Roman" w:cs="Times New Roman"/>
          <w:sz w:val="24"/>
          <w:szCs w:val="24"/>
        </w:rPr>
        <w:lastRenderedPageBreak/>
        <w:t>kalitesi puan ortalamaları algılanan gelir düzeyine göre değerlendirildiğinde ise, evli çiftler gelir düzeylerini yüksek algıladıkça evlilik kalitesi puan ortalamalarında da anlamlı olarak bir yükselme olduğu görülmektedir  (F= 15.32, p&lt; .05).  Post-Hoc Testi sonuçlarına göre, gelir düzeylerini yüksek ve orta olarak algılayan evli çiftlerin evlilik kalitesi puan ortalamaları, gelir düzeylerini düşük olarak algılayan çiftlerin evlilik kalitesi puan ortalamasından anlamlı olarak yüksek bulunmuştur. Buna karşın,  gelir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Tablo 5’de görüleceği gibi, cinsiyetlerine göre evli çiftlerin  “eş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Tablo 5’de görüleceği gibi, otomobil sahibi olan evli çiftlerin eş tükenmişliği puan ortalaması ( =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etkisine ilişkin F değerleri anlamlı bulunmuştur (F= 2.47, p&lt; .05).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ortalamaları algılanan gelir düzeyine göre incelendiğinde,  gelir düzeyini “düşük” algılayan çiftlerin eş tükenmişlik puan ortalamasının en yüksek,  gelir düzeyini “yüksek” algılayan çiftlerin eş tükenmişlik puan ortalamasının ise en düşük olduğu görülmektedir. Genel olarak,  gelir düzeyini düşük algıladıkça eş tükenmişliği puan ortalamasının yükseldiği gözlenmektedir. Algılanan gelir düzeyinin çiftlerin “eş tükenmişliği” üzerindeki etkisine ilişkin F değeri anlamlı bulunmuştur (F= 12.30, p&lt; .05). Post-Hoc Testi sonuçlarına göre gelir düzeyini “düşük” algılayan çiftlerin eş tükenmişliği puan ortalaması, gelir düzeyini “orta” ve “yüksek” olarak algılayan çiftlerin eş tükenmişliği puan ortalamalarından anlamlı olarak yüksek bulunmuştur. Sonuç olarak,  gelir düzeyini “düşük” algılayan çiftlerin daha fazla eş tükenmişliği yaşadıkları belirlenmiştir.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Tablo 5’de görüleceği gibi, cinsiyetlerine göre evli çiftlerin “aile ekonomik güçlüğü” puan ortalamaları arasında anlamlı fark çıkmamıştır (t= .07, p&gt; .05). Ayrıca evli çiftlerin aile </w:t>
      </w:r>
      <w:r w:rsidRPr="00CF30B2">
        <w:rPr>
          <w:rFonts w:ascii="Times New Roman" w:eastAsia="Calibri" w:hAnsi="Times New Roman" w:cs="Times New Roman"/>
          <w:sz w:val="24"/>
          <w:szCs w:val="24"/>
        </w:rPr>
        <w:lastRenderedPageBreak/>
        <w:t xml:space="preserve">ekonomik güçlüğü, çocuk sayısı ve çalışma durumuna göre de anlamlı olarak değişmemektedir. Ev sahibi olan evli çiftlerin aile ekonomik güçlük puan ortalaması (  = 26.41), ev sahibi olmayan evli çiftlerin aile ekonomik güçlük puan ortalamasından (  = 31.34) daha düşük bulunmuştur.  Evli çiftlerin “aile ekonomik güçlük” puan ortalamaları ev sahibi olup olmama durumuna göre istatistiksel olarak anlamlı bulunmuştur (t= -5.07, p&lt; .05). Sonuç olarak, ev sahibi olan evli bireylerin daha az aile ekonomik güçlük yaşadıkları belirlenmiştir. Otomobil sahibi olan evli çiftlerin, aile ekonomik güçlüğü puan ortalaması (  = 24.42) otomobil sahibi olmayanların puan ortalamalarından ( = 34.81) daha düşük gözlenmektedir. Ailenin otomobilinin olmasına göre, evli çiftlerin “aile ekonomik güçlük” puan ortalamaları arasında gözlenen farklar istatistiksel olarak anlamlı bulunmuştur (t= -12.78,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 = 29.34) en yüksek olduğu, bunu “31-40” yaş grubunun puan ortalamasının ( = 26.24) izlediği belirlenmiştir. Yaşın evli çiftlerin yaşadıkları “aile ekonomik güçlüğü” üzerindeki etkisine ilişkin F değeri anlamlı bulunmuştur (F= 4.70,  p&lt;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ekonomik güçlüğü” üzerindeki etkisine ilişkin F değeri anlamlı bulunmuştur (F= 2.91, p= .05). Post-Hoc Testi sonuçlarına göre, “ilkokul mezunu ve altı” (  =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  = 31,01) mezunu evli çiftlerin yaşadıkları aile ekonomik güçlüğü ise “üniversite veya 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p&lt; .05). Post-Hoc Testi sonuçlarına göre, “1-5” yıl evli olan çiftlerin yaşadıkları “aile ekonomik güçlüğü” puan ortalaması (  = 25.50), “11-20” yıl (  = 29.61) ve “21-30” yıl (  = 29.34) evli olan çiftlerin puan ortalamalarından daha düşük saptanmıştır . Benzer şekilde, “6-10” yıl evli olan çiftlerin “aile ekonomik güçlüğü” puan ortalaması (  =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w:t>
      </w:r>
      <w:r w:rsidRPr="00CF30B2">
        <w:rPr>
          <w:rFonts w:ascii="Times New Roman" w:eastAsia="Calibri" w:hAnsi="Times New Roman" w:cs="Times New Roman"/>
          <w:sz w:val="24"/>
          <w:szCs w:val="24"/>
        </w:rPr>
        <w:lastRenderedPageBreak/>
        <w:t>aile gelirinin evli çiftlerin yaşadıkları “aile ekonomik güçlüğü” üzerindeki etkisine ilişkin F değeri anlamlı bulunmuştur (F= 15.86, p&lt; .05). Post-Hoc Testi sonuçlarına göre, “900-1500TL” aylık gelire sahip eşler en fazla (  =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Algılanan gelir düzeyinin evli çiftlerin yaşadıkları “aile ekonomik güçlüğü” üzerindeki etkisine ilişkin F değeri anlamlı bulunmuştur (F= 41.10, p&lt; .05). Post-Hoc Testi sonuçlarına göre, gelir düzeyini “yüksek” algılayan  çiftlerin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Evlilik Kalitesi Regresyon Sonuçları</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3’de bu değişkenlere ek olarak aile ekonomik güçlüğü ile evlilik kalitesi arasındaki ilişki sosyo-ekonomik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ile evlilik kalitesi arasında pozitif yönlü bir ilişki belirlenmiş ve otomobil sahibi olan evli çiftlerin evlilik kalitesinin otomobil sahibi olmayan evli çiftlerin evlilik kalitesine göre daha yüksek olduğu saptanmıştır (Model 3) (Tablo 6).</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b/>
          <w:sz w:val="24"/>
          <w:szCs w:val="24"/>
        </w:rPr>
        <w:t>Tablo 6.</w:t>
      </w:r>
      <w:r w:rsidRPr="00CF30B2">
        <w:rPr>
          <w:rFonts w:ascii="Times New Roman" w:eastAsia="Calibri" w:hAnsi="Times New Roman" w:cs="Times New Roman"/>
          <w:sz w:val="24"/>
          <w:szCs w:val="24"/>
        </w:rPr>
        <w:t xml:space="preserve"> Evlilik Kalitesi Regresyon Sonuçları</w:t>
      </w:r>
    </w:p>
    <w:tbl>
      <w:tblPr>
        <w:tblStyle w:val="TableGrid"/>
        <w:tblW w:w="0" w:type="auto"/>
        <w:tblLook w:val="04A0" w:firstRow="1" w:lastRow="0" w:firstColumn="1" w:lastColumn="0" w:noHBand="0" w:noVBand="1"/>
      </w:tblPr>
      <w:tblGrid>
        <w:gridCol w:w="2271"/>
        <w:gridCol w:w="2264"/>
        <w:gridCol w:w="2265"/>
        <w:gridCol w:w="2262"/>
      </w:tblGrid>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Bağımsız Değişkenler</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Model 1</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Model 2</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Model 3</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B (SE)</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B (SE)</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B (SE)</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Aile Ekonomik Güçlüğü</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-.802 (.062)***</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-.160 (.052)**</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.006 (.063)</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Eş Tükenmişliği</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-.543 (.023)***</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-.513 (.024)***</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Cinsiyet</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-.240 (.9659</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lastRenderedPageBreak/>
              <w:t>Yaş</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-.172 (.111)</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Eğitim Düzeyi</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.878 (1.146)</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Evlilik Süresi</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.137 (.1129</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Çocuk Sayısı</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-1.695 (.555)**</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Çalışma Durumu</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-.066 (1.204)</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Gelir Miktarı</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-2.83 (.000)</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Algılanan Gelir Yüksek </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.536 (1.812)</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Algılanan Gelir Düşük </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-1.871 (1.262)</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 Sahibi Olma</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1.314 (1.176)</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Araba Sahibi Olma</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4.374 (1.231)***</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Constant</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129.088 (1.817)***</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F</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168.094***</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435.963***</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75.573***</w:t>
            </w:r>
          </w:p>
        </w:tc>
      </w:tr>
      <w:tr w:rsidR="00EA467B" w:rsidRPr="00CF30B2" w:rsidTr="00F47117">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R2</w:t>
            </w:r>
          </w:p>
        </w:tc>
        <w:tc>
          <w:tcPr>
            <w:tcW w:w="2302"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.233</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.612</w:t>
            </w:r>
          </w:p>
        </w:tc>
        <w:tc>
          <w:tcPr>
            <w:tcW w:w="2303" w:type="dxa"/>
          </w:tcPr>
          <w:p w:rsidR="00EA467B" w:rsidRPr="00CF30B2" w:rsidRDefault="00EA467B" w:rsidP="00F47117">
            <w:pPr>
              <w:spacing w:after="200" w:line="276"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.644</w:t>
            </w:r>
          </w:p>
        </w:tc>
      </w:tr>
    </w:tbl>
    <w:p w:rsidR="00EA467B" w:rsidRPr="00CF30B2" w:rsidRDefault="00EA467B" w:rsidP="00EA467B">
      <w:pPr>
        <w:spacing w:before="120" w:after="0" w:line="300" w:lineRule="auto"/>
        <w:jc w:val="both"/>
        <w:rPr>
          <w:rFonts w:ascii="Times New Roman" w:eastAsia="Calibri" w:hAnsi="Times New Roman" w:cs="Times New Roman"/>
          <w:sz w:val="24"/>
          <w:szCs w:val="24"/>
        </w:rPr>
      </w:pP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 xml:space="preserve">TARTIŞMA VE SONUÇ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Kapucı (2014) ile Allendorf ve Ghimire’in (2012) bulgularıyla tutarlılık göstermektedir. İnsan ilişkileri içerisinde en yakın ilişki, eşler arasındaki ilişkidir. Yakın ilişkilere sahip olan eşlerin benzer evlilik kalitesine sahip oldukları anlaşılmaktadır (Jensen, Rauer ve Volling, 2013). 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Klock ve Gale, 2002; Fincham, 1998), iyi ve kötü günde birlikte olmakta ve iyi ve kötü yaşantılarından birlikte etkilenmektedirler. Evliliğe ilişkin beklentileri belki de benzer düzeyde gerçekleşmektedir.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Oturdukları ev kendilerine ait olan evli çiftlerin evlilik kalitesi, daha yüksek bulunmuştur. Bu bulgu, Retting ve Bubolz’ın (1983) bulgularıyla tutarlı görünmektedir. Retting ve Bubolz, evlilik kalitesini ekonomik ve sosyal etmenlerle açıklamıştır. Eşlerin oturdukları evin kendilerine ait olması önemli bir ekonomik gösterge olarak değerlendirilebilir. Evlilik kalitesini etkileyen sosyo-ekonomik değişkenlerden birisi de “ailesinde otomobilin olması” değişkenidir. </w:t>
      </w:r>
      <w:r w:rsidRPr="00CF30B2">
        <w:rPr>
          <w:rFonts w:ascii="Times New Roman" w:eastAsia="Calibri" w:hAnsi="Times New Roman" w:cs="Times New Roman"/>
          <w:sz w:val="24"/>
          <w:szCs w:val="24"/>
        </w:rPr>
        <w:lastRenderedPageBreak/>
        <w:t xml:space="preserve">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etkinliklere katılma ve daha fazla sosyal ilişkilerde bulunma fırsatı sunabilir. Sonuç olarak, otomobillerinin olması eşlerin evlilik ve aile yaşamına ilişkin bazı beklentilerinin gerçekleşmesine katkıda bulunabilir.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Evlilik kalitesi üzerinde etkisi incelenen diğer bir değişken “öğrenin durumu” değişkenidir.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Amato ve Booth'un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bulgu, Allendorf ve Ghimire’in (2012) bulgularıyla tutarlılık göstermektedir. Benzer biçimde, Rostami, Ghazinour, Nygren ve Richter (2014), hiç çocuğu olmayan eşlerin evliliklerinden memnuniyet düzeylerinin daha yüksek olduğunu belirtmektedir. Fincham (1998) ve Faulkner, Klock ve Gale’in  (2002)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Kottman (1995) ve Vannoy ve Philliber (1992) bulgularıyla tutarlı görünmektedir. Terry ve Kottman, eşlerin bir meslek sahibi olmalarının ve aileye ekonomik anlamda birlikte katkıda bulunmalarının evlilikte kaliteyi artırdığını vurgulamaktadır. Vannoy ve Philliber ise kadının çalışıp çalışmamasının evlilik kalitesine olumlu yönde katkı getireceğine vurgu yapmaktadır. Benzer şekilde, Kodan da (2013) eşlerin çalışma durumu ile yaşam doyumları arasında eşi çalışan bireyler lehine anlamlı bir fark olduğunu belirtmektedir. Lorenz ve diğerlerinin (1991) ifade ettikleri gibi, dolaylı olarak ekonomik baskı gelir sağlayıcı bir işte çalışmayan eşlerin evlilik kalitesini olumsuz yönde etkilemiş olabilir. Bununla birlikte, gelir sağlayıcı bir işte çalışmayan eşlerin çoğunun kadınlar </w:t>
      </w:r>
      <w:r w:rsidRPr="00CF30B2">
        <w:rPr>
          <w:rFonts w:ascii="Times New Roman" w:eastAsia="Calibri" w:hAnsi="Times New Roman" w:cs="Times New Roman"/>
          <w:sz w:val="24"/>
          <w:szCs w:val="24"/>
        </w:rPr>
        <w:lastRenderedPageBreak/>
        <w:t xml:space="preserve">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Erci ve Ergin  (2005)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Özgüven’nin (2009) de belirttiği gibi, ailenin düşük gelir düzeyinde olması bütün aile üyelerini etkileyebilir. Çiftlerin ve ailenin yaşam kalitesini düşürebilir, aile düzenini bozabilir, sonuçta aile içi ilişkilerde ve evlilikte bunalımlara neden olabilir. Clark-Nicolas ve Gray-Little’e (1991) göre, algılanan gelir düzeyi ve ekonomik yeterlilik, evlilik kalitesini etkileyebilmektedir. Bazı evli çiftler de görece yüksek gelire sahip olmalarına karşın, kendi yaşam standartları ve alışkanlıkları nedeniyle kendilerini düşük gelir grubunda algılayabilirler. Bunun tersi de mümkündür. Bu noktada önemli olan eşlerin gelir kaynaklarını ne derecede yeterli olarak algıladıklarıdır. Genel olarak, ekonomik kaynaklarını yeterli gören çiftlerin evliliklerinde daha fazla doyuma ulaştıkları bulunmuştur (Clark-Nicolas ve Gray-Little, 1991).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Araştırmalarda ailenin yaşadığı ekonomik güçlük ile evlilikten duyulan tatmin arasında anlamlı ilişki olduğu belirtilmektedir (Kwon ve diğerleri, 2003). Beklenildiği gibi bu araşatırmada da ekonomik güçlük ile evlilik kalitesi arasında ters yönlü ilişki bulunmuştur. Evli çiftlerin yaşadığı ekonomik güçlük evllilik kalitelerini olumsuz etkileyerek düşürmektedir. Aynı zamanda eşlerin yaşadığı eş tükenmişliği de evlilik kalitesini olumsuz yönde etkilemektedir. Çiftlerin yaşadığı eş tükenmişliği arttıkça evlilik kaliteleri azalmaktadır.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Bu araştırma sonucunda çiftlerin yaşadığı ekonomik güçlük, oturdukları evin kendilerine ait olması, ailesinde otomobilin olması, eşlerin çalışma durumu, algılanan aile gelir düzeyi gibi doğrudan ailenin ekonomik durumu hakkında gösterge olan değişkenlerin evlilik kalitesini 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eşlerin birlikte katılacağı mesai saatleri dışında veya hafta sonlarında “yetişkin ya da ebeveyn eğitim programları” uygulanması yararlı olabilir. Bu eğitim programlarında “evliliği güçlendirme” amacıyla eşlerle </w:t>
      </w:r>
      <w:r w:rsidRPr="00CF30B2">
        <w:rPr>
          <w:rFonts w:ascii="Times New Roman" w:eastAsia="Calibri" w:hAnsi="Times New Roman" w:cs="Times New Roman"/>
          <w:sz w:val="24"/>
          <w:szCs w:val="24"/>
        </w:rPr>
        <w:lastRenderedPageBreak/>
        <w:t xml:space="preserve">empati,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rsidR="00EA467B" w:rsidRPr="00CF30B2" w:rsidRDefault="00EA467B" w:rsidP="00EA467B">
      <w:pPr>
        <w:spacing w:before="120" w:after="0" w:line="300" w:lineRule="auto"/>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istihdam edilmeleri yararlı olabilir. Aynı zamanda Aile, Çalışma ve Sosyal Hizmetler Bakanlığı, il ve ilçelerdeki Aile Danışma Merkezleri, Halk Eğitim Merkezleri ve özel aile danışma merkezleri çalışmaları  kapsamında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rsidR="00EA467B" w:rsidRPr="00CF30B2" w:rsidRDefault="00EA467B" w:rsidP="00EA467B">
      <w:pPr>
        <w:spacing w:before="120" w:after="0" w:line="300" w:lineRule="auto"/>
        <w:jc w:val="both"/>
        <w:rPr>
          <w:rFonts w:ascii="Times New Roman" w:eastAsia="Calibri" w:hAnsi="Times New Roman" w:cs="Times New Roman"/>
          <w:b/>
          <w:sz w:val="24"/>
          <w:szCs w:val="24"/>
        </w:rPr>
      </w:pPr>
      <w:r w:rsidRPr="00CF30B2">
        <w:rPr>
          <w:rFonts w:ascii="Times New Roman" w:eastAsia="Calibri" w:hAnsi="Times New Roman" w:cs="Times New Roman"/>
          <w:b/>
          <w:sz w:val="24"/>
          <w:szCs w:val="24"/>
        </w:rPr>
        <w:t>KAYNAKLAR</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Allendorf, K., &amp; Ghimire, D. (2012). Determinants of marital quality in an arranged marriage society. Population Studies Center Research Reports, 12-758, USA.</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Amato, P.R., &amp; Booth, A. (1995). Changes in gender role attitudes and perceived marital quality. American Sociological Review, 60 (1), 58-66.</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Bird, G.W., &amp; Melville, K. (1994). Families and intimate relationships. New York: McGraw-Hill Companies.</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Botkin, D. R., Weeks, M. N., &amp; Morris, J. E. (2000). Changing marriage role expectations: 1961–1996. Sex Roles, 42(9-10), 933-942.</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Clark-Nicolas, P., &amp; Gray-Little, B. (1991). Effect of economic resources on marital quality in black married couples. Journal of Marriage and Family, 53 (3), 645-655.</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Conger, R.D., Elder,G.H., Lorenz, F.O., Conger, K.J., Simons, R.L., Whitbeck, L.B. ve ark. (1990). Linking economic hardship to marital quality and instability. Journal of Marriage and Family, 52 (3), 643-656</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Connides, I. A. (2001). Family ties and aging. Thousand Oaks, CA: Sage.</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Cox, F. D. (2006). Human intimacy: Marriage, the family, and its meaning. Belmont, CA : Thomson/Wadsworth. </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Çapri, B. (2008). Eş tükenmişliğini yordayan değişkenlerin incelenmesi. Doktora Tezi, Mersin Üniversitesi Sosyal Bilimler Enstitüsü. Mersin.</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Erbek, E., Beştepe, E., Akar, H., Eradamlar, N., &amp; Alpkan, E. L. (2005).  Evlilik uyumu.  Düşünen Adam Psikiyatri ve Nörolojik Bilimler Dergisi, 18 (1), 39-47.</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lastRenderedPageBreak/>
        <w:t>Erci, B., &amp; Ergin, R. (2005). Women’s satisfaction with their marriage in Turkey. Marriage and Family Review, 37, 117-133.</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Faulkner, R. A., Klock, K., &amp; Gale, J. E. (2002). Qualitative research in family therapy: Publication trends from 1980 to 1999. Journal of Marital and Family Therapy, 28(1), 69-74.</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Fincham, F. D. (1998). Child development and marital relations. Child Development, 69 (2), 543-574.</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Gladding, S. T. (2012). Family therapy (Aile Terapisi, Edit: İ. Keklik ve İ. Yıldırım). Ankara: Türk PDR-DER Yayınları.</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Gül, G. (2003). Aile ve evlilik kurumu. Evlilik Okulu Kişiler Arası İlişkiler ve İletişim Becerileri (Edi. Haluk Yavuzer).11. Basım. İstanbul: Remzi Kitabevi</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Hilton, J. M., &amp; Devall, E. L. (1997). The family economic strain scale: development and evaluation of the instrument with single and two-parent families. Journal of Family and Economic Issues, 18(3), 247-271.</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Jackson, J. B., Miller, R. B., Oka, M., &amp; Henry, R. G. (2014). Gender differences in marital satisfaction: A meta- analysis. Journal of Marriage and Family, 76, 105-129.</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Jensen, J., Rauer, A., &amp; Volling, B. (2013). A dyadic view of support in marriage: The critical role of men’s support provision. Sex Roles, 68, 427-438.</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Kapucı, O. (2014). Evli çiftlerin evlilik kalitesi ve bağlanma stillerinin demografik özellikler açısından incelenmesi. Yüksek Lisans Tezi, Üsküdar Üniversitesi Sosyal Bilimler Enstitüsü, İstanbul.</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Kendir, E. M., &amp; Demirli, C. (2016). Evlilik doyumu üzerinde anne baba tutumunun etkisinin incelenmesi. Education Sciences, 11 (3), 96-113.</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Kızıldağ, S. (2015). Eş tükenmişliği: Bir model testi. Yayınlanmamış Doktora tezi, Hacettepe Üniversitesi Sosyal Bilimler Enstitüsü, Ankara.</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Kodan, S. (2013). Evli bireylerin evlilik kalitesi toplumsal cinsiyet rollerine ilişkin tutumları ve yaşam doyumları arasındaki ilişkilerin incelenmesi. Yüksek Lisans Tezi, Atatürk Üniversitesi, Eğitim Bilimleri Enstitüsü, Erzurum.</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Kodan-Çetinkaya, S., &amp; Gençdoğan, B. (2014). The relationship between marital quality, attitudes towards gender roles and life satisfaction among the married individuals, Psychology, Society ve Education, 6(2), 94-112. </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Kwon, H.E., Rueter, M.A., Lee, M.İ., Koh, S., &amp; Ok, S.W.   (2003). Marital relationships following the Korean economic crisis: applying the family stress model. Journal of Marriage and Family,  65 (2),  316–325.</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Lorenz, F.O., Conger, R.D., Simon, R.L. Whitbeck, L.B., &amp; Elder, G.H. (1991).  Economic pressure and marital quality: an illustration of the method variance problem in the causal modeling of family processes. Journal of Marriage and Family, 53 (2), 375-388.</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lastRenderedPageBreak/>
        <w:t>Machaty, A. (2013). Dispositional optimism and marital adjustment. Master of Science, Colloge of Agriculture, University of Kentucky.</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Mason, T. M., Canlas, C. M., &amp; Wang, D. N. (2013). Marital satisfaction and depressive symptoms in China. Journal of Family Psychology, 27(4), 677-682.</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Nakip, M. (2003). Pazarlama araştırmaları teknikler ve spss destekli uygulamalar. Ankara: Seçkin Yayıncılık.</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Norton, R. (1983). Measuring marital quality: A critical look at the dependent variable. Journal of Marriage and Family, 45, 141-151.</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Özgüven, İ. E. (2009). Evlilik ve aile terapisi. Ankara: PDR Yayınları </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Özgüven, İ. E. (2010). Ailede iletişim ve yaşam. Ankara: Pdrem Yayınları</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Pew Research Center (PRC) (2013). Social and Demographic Trends Project: Love And Marriage. [Çevrim-içi:http://www.pewsocialtrends.org/2010/11/18/iii-marriage/], Erişim Tarihi: 11 Ekim 2015</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Pines, A. M. (1996). Couple Burnout. New York / London: Routledge.</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Pines, A. M., &amp; Nunes, R. (2003). The relationship between career and couple burnout: implications for career and couple counseling. Journal of Employment Counseling, 40 (2), 50-64.</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 xml:space="preserve">Proulx, C. M., Helms, H. M., &amp; Buehler, C. Y. L. (2007). Marital quality and personal well-being:  A meta-analysis. Journal of Marriage and Family, 69, 576-593. </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Retting, K. D., &amp; Bubolz, M. M. (1983). Interpersonal resource exchange as indicators of quality of marrage. Journal of Marriage and Family, 45(3), 497-509.</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Rostami, A., Ghazinour, M.,  Nygren, L., &amp; Richter, J. (2014). Marital satisfaction with a special focus on gender differences in medical staff in Tehran, Iran. Journal of Family Issues, 35(4), 1940-1958.</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Saxton. L. (1982). The nature of marriage, the individual, marriage, and the family. (5.Edith). Wadsworth Publishing Company Belmont, California A Division of Wadswort, Inc. (pp.216-224).</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Sprecher, S., Metts, S., Burleson, B., Hatfield, E., &amp; Thompson, A. (1995). Domains of expressive interaction in intimate relationships: Associations with satisfaction and commitment. Family Relations, 44(2),  203-210.</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Şentürk, Ü. (2008). Aile kurumuna yönelik güncel riskler. Aile ve Toplum, 10 (4), 7-31.</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Tabachnick, B. G., &amp; Fidell, L. S. (2015). Çok değişkenli istatistiklerin kullanımı (Edit: Mustafa Baloğlu). (6. Baskı). Ankara: Nobel Akademik Yayıncılık.</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lastRenderedPageBreak/>
        <w:t>Terry, J., &amp; Kottman, M. (1995). Working with families. Guidance and counseling in the elementary and middle schools. Brown and Benchmark Publishers, (Pp: 254-281).</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Vannoy, D., &amp; Philliber, W.W. (1992). Wife's employment and quality of marriage. Journal of Marriage and Family, 54 (2), 387-398.</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r w:rsidRPr="00CF30B2">
        <w:rPr>
          <w:rFonts w:ascii="Times New Roman" w:eastAsia="Calibri" w:hAnsi="Times New Roman" w:cs="Times New Roman"/>
          <w:sz w:val="24"/>
          <w:szCs w:val="24"/>
        </w:rPr>
        <w:t>Veenhoven, R. (2012). Happiness, also known as “Life satisfaction” and “Subjective well-being” (Chapter 3) In Land, K. C, Michalos, A. C. and Sirgy, M. J.  (Eds.) Handcook of social indicators and quality of life research. New York: Springer Press, (Pp: 63-77).</w:t>
      </w: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p>
    <w:p w:rsidR="00EA467B" w:rsidRPr="00CF30B2" w:rsidRDefault="00EA467B" w:rsidP="00EA467B">
      <w:pPr>
        <w:spacing w:before="120" w:after="0" w:line="300" w:lineRule="auto"/>
        <w:ind w:firstLine="709"/>
        <w:jc w:val="both"/>
        <w:rPr>
          <w:rFonts w:ascii="Times New Roman" w:eastAsia="Calibri" w:hAnsi="Times New Roman" w:cs="Times New Roman"/>
          <w:sz w:val="24"/>
          <w:szCs w:val="24"/>
        </w:rPr>
      </w:pPr>
    </w:p>
    <w:p w:rsidR="00EA467B" w:rsidRPr="00CF30B2" w:rsidRDefault="00EA467B" w:rsidP="00EA467B">
      <w:pPr>
        <w:spacing w:after="200" w:line="276" w:lineRule="auto"/>
        <w:rPr>
          <w:rFonts w:ascii="Calibri" w:eastAsia="Calibri" w:hAnsi="Calibri" w:cs="Times New Roman"/>
        </w:rPr>
      </w:pPr>
    </w:p>
    <w:p w:rsidR="00EA467B" w:rsidRPr="00FA1E03" w:rsidRDefault="00EA467B" w:rsidP="00EA467B"/>
    <w:p w:rsidR="00034243" w:rsidRPr="00E62B49" w:rsidRDefault="00034243" w:rsidP="00E62B49">
      <w:pPr>
        <w:rPr>
          <w:rFonts w:ascii="Times New Roman" w:hAnsi="Times New Roman" w:cs="Times New Roman"/>
        </w:rPr>
      </w:pPr>
    </w:p>
    <w:sectPr w:rsidR="00034243" w:rsidRPr="00E62B49" w:rsidSect="00E62B49">
      <w:pgSz w:w="11906" w:h="16838"/>
      <w:pgMar w:top="1492" w:right="1416" w:bottom="1134" w:left="1418"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D35" w:rsidRDefault="00D66D35" w:rsidP="000E3BF7">
      <w:pPr>
        <w:spacing w:after="0" w:line="240" w:lineRule="auto"/>
      </w:pPr>
      <w:r>
        <w:separator/>
      </w:r>
    </w:p>
  </w:endnote>
  <w:endnote w:type="continuationSeparator" w:id="0">
    <w:p w:rsidR="00D66D35" w:rsidRDefault="00D66D35" w:rsidP="000E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D35" w:rsidRDefault="00D66D35" w:rsidP="000E3BF7">
      <w:pPr>
        <w:spacing w:after="0" w:line="240" w:lineRule="auto"/>
      </w:pPr>
      <w:r>
        <w:separator/>
      </w:r>
    </w:p>
  </w:footnote>
  <w:footnote w:type="continuationSeparator" w:id="0">
    <w:p w:rsidR="00D66D35" w:rsidRDefault="00D66D35" w:rsidP="000E3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43"/>
    <w:rsid w:val="00034243"/>
    <w:rsid w:val="000521AC"/>
    <w:rsid w:val="000E3BF7"/>
    <w:rsid w:val="001441CD"/>
    <w:rsid w:val="00154FB3"/>
    <w:rsid w:val="001563D6"/>
    <w:rsid w:val="001B3227"/>
    <w:rsid w:val="001C3C9B"/>
    <w:rsid w:val="002C1601"/>
    <w:rsid w:val="003B08B5"/>
    <w:rsid w:val="00636646"/>
    <w:rsid w:val="00735096"/>
    <w:rsid w:val="00752407"/>
    <w:rsid w:val="00820723"/>
    <w:rsid w:val="00A1253B"/>
    <w:rsid w:val="00B775E9"/>
    <w:rsid w:val="00C204BC"/>
    <w:rsid w:val="00C20CEE"/>
    <w:rsid w:val="00D33D0E"/>
    <w:rsid w:val="00D66D35"/>
    <w:rsid w:val="00D6769F"/>
    <w:rsid w:val="00E627CA"/>
    <w:rsid w:val="00E62B49"/>
    <w:rsid w:val="00E91338"/>
    <w:rsid w:val="00EA467B"/>
    <w:rsid w:val="00F22C19"/>
    <w:rsid w:val="00FD51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37684"/>
  <w15:docId w15:val="{D8815E30-7CD6-4D9D-97A0-DD67AA06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F7"/>
    <w:pPr>
      <w:spacing w:line="256" w:lineRule="auto"/>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0E3B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lor11">
    <w:name w:val="color_11"/>
    <w:basedOn w:val="DefaultParagraphFont"/>
    <w:rsid w:val="000E3BF7"/>
  </w:style>
  <w:style w:type="paragraph" w:styleId="Header">
    <w:name w:val="header"/>
    <w:basedOn w:val="Normal"/>
    <w:link w:val="HeaderChar"/>
    <w:uiPriority w:val="99"/>
    <w:unhideWhenUsed/>
    <w:rsid w:val="000E3BF7"/>
    <w:pPr>
      <w:tabs>
        <w:tab w:val="center" w:pos="4677"/>
        <w:tab w:val="right" w:pos="9355"/>
      </w:tabs>
      <w:spacing w:after="0" w:line="240" w:lineRule="auto"/>
    </w:pPr>
  </w:style>
  <w:style w:type="character" w:customStyle="1" w:styleId="HeaderChar">
    <w:name w:val="Header Char"/>
    <w:basedOn w:val="DefaultParagraphFont"/>
    <w:link w:val="Header"/>
    <w:uiPriority w:val="99"/>
    <w:rsid w:val="000E3BF7"/>
    <w:rPr>
      <w:lang w:val="tr-TR"/>
    </w:rPr>
  </w:style>
  <w:style w:type="paragraph" w:styleId="Footer">
    <w:name w:val="footer"/>
    <w:basedOn w:val="Normal"/>
    <w:link w:val="FooterChar"/>
    <w:uiPriority w:val="99"/>
    <w:unhideWhenUsed/>
    <w:rsid w:val="000E3BF7"/>
    <w:pPr>
      <w:tabs>
        <w:tab w:val="center" w:pos="4677"/>
        <w:tab w:val="right" w:pos="9355"/>
      </w:tabs>
      <w:spacing w:after="0" w:line="240" w:lineRule="auto"/>
    </w:pPr>
  </w:style>
  <w:style w:type="character" w:customStyle="1" w:styleId="FooterChar">
    <w:name w:val="Footer Char"/>
    <w:basedOn w:val="DefaultParagraphFont"/>
    <w:link w:val="Footer"/>
    <w:uiPriority w:val="99"/>
    <w:rsid w:val="000E3BF7"/>
    <w:rPr>
      <w:lang w:val="tr-TR"/>
    </w:rPr>
  </w:style>
  <w:style w:type="paragraph" w:customStyle="1" w:styleId="font8">
    <w:name w:val="font_8"/>
    <w:basedOn w:val="Normal"/>
    <w:rsid w:val="000E3B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33">
    <w:name w:val="color_33"/>
    <w:basedOn w:val="DefaultParagraphFont"/>
    <w:rsid w:val="000E3BF7"/>
  </w:style>
  <w:style w:type="character" w:customStyle="1" w:styleId="color30">
    <w:name w:val="color_30"/>
    <w:basedOn w:val="DefaultParagraphFont"/>
    <w:rsid w:val="000E3BF7"/>
  </w:style>
  <w:style w:type="table" w:styleId="TableGrid">
    <w:name w:val="Table Grid"/>
    <w:basedOn w:val="TableNormal"/>
    <w:uiPriority w:val="59"/>
    <w:rsid w:val="000E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0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EE"/>
    <w:rPr>
      <w:rFonts w:ascii="Segoe UI" w:hAnsi="Segoe UI" w:cs="Segoe UI"/>
      <w:sz w:val="18"/>
      <w:szCs w:val="18"/>
      <w:lang w:val="tr-TR"/>
    </w:rPr>
  </w:style>
  <w:style w:type="paragraph" w:styleId="FootnoteText">
    <w:name w:val="footnote text"/>
    <w:aliases w:val="Dipnot Metni Char Char Char,Dipnot Metni Char Char,Char"/>
    <w:basedOn w:val="Normal"/>
    <w:link w:val="FootnoteTextChar"/>
    <w:unhideWhenUsed/>
    <w:rsid w:val="00E62B49"/>
    <w:pPr>
      <w:spacing w:after="0" w:line="240" w:lineRule="auto"/>
    </w:pPr>
    <w:rPr>
      <w:rFonts w:eastAsiaTheme="minorEastAsia"/>
      <w:sz w:val="20"/>
      <w:szCs w:val="20"/>
    </w:rPr>
  </w:style>
  <w:style w:type="character" w:customStyle="1" w:styleId="FootnoteTextChar">
    <w:name w:val="Footnote Text Char"/>
    <w:aliases w:val="Dipnot Metni Char Char Char Char,Dipnot Metni Char Char Char1,Char Char"/>
    <w:basedOn w:val="DefaultParagraphFont"/>
    <w:link w:val="FootnoteText"/>
    <w:rsid w:val="00E62B49"/>
    <w:rPr>
      <w:rFonts w:eastAsiaTheme="minorEastAsia"/>
      <w:sz w:val="20"/>
      <w:szCs w:val="20"/>
      <w:lang w:val="tr-TR"/>
    </w:rPr>
  </w:style>
  <w:style w:type="character" w:styleId="FootnoteReference">
    <w:name w:val="footnote reference"/>
    <w:basedOn w:val="DefaultParagraphFont"/>
    <w:semiHidden/>
    <w:unhideWhenUsed/>
    <w:rsid w:val="00E62B49"/>
    <w:rPr>
      <w:vertAlign w:val="superscript"/>
    </w:rPr>
  </w:style>
  <w:style w:type="character" w:styleId="Hyperlink">
    <w:name w:val="Hyperlink"/>
    <w:basedOn w:val="DefaultParagraphFont"/>
    <w:uiPriority w:val="99"/>
    <w:unhideWhenUsed/>
    <w:rsid w:val="00E62B49"/>
    <w:rPr>
      <w:color w:val="0563C1" w:themeColor="hyperlink"/>
      <w:u w:val="single"/>
    </w:rPr>
  </w:style>
  <w:style w:type="character" w:customStyle="1" w:styleId="UnresolvedMention">
    <w:name w:val="Unresolved Mention"/>
    <w:basedOn w:val="DefaultParagraphFont"/>
    <w:uiPriority w:val="99"/>
    <w:semiHidden/>
    <w:unhideWhenUsed/>
    <w:rsid w:val="00E62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12340">
      <w:bodyDiv w:val="1"/>
      <w:marLeft w:val="0"/>
      <w:marRight w:val="0"/>
      <w:marTop w:val="0"/>
      <w:marBottom w:val="0"/>
      <w:divBdr>
        <w:top w:val="none" w:sz="0" w:space="0" w:color="auto"/>
        <w:left w:val="none" w:sz="0" w:space="0" w:color="auto"/>
        <w:bottom w:val="none" w:sz="0" w:space="0" w:color="auto"/>
        <w:right w:val="none" w:sz="0" w:space="0" w:color="auto"/>
      </w:divBdr>
    </w:div>
    <w:div w:id="18279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kongresi@gmail.com" TargetMode="External"/><Relationship Id="rId3" Type="http://schemas.openxmlformats.org/officeDocument/2006/relationships/settings" Target="settings.xml"/><Relationship Id="rId7" Type="http://schemas.openxmlformats.org/officeDocument/2006/relationships/hyperlink" Target="mailto:kmkongre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9329</Words>
  <Characters>53179</Characters>
  <Application>Microsoft Office Word</Application>
  <DocSecurity>0</DocSecurity>
  <Lines>443</Lines>
  <Paragraphs>124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Movlyanov Atabek</dc:creator>
  <cp:keywords/>
  <dc:description/>
  <cp:lastModifiedBy>Acer</cp:lastModifiedBy>
  <cp:revision>2</cp:revision>
  <cp:lastPrinted>2019-04-11T16:07:00Z</cp:lastPrinted>
  <dcterms:created xsi:type="dcterms:W3CDTF">2021-04-03T13:19:00Z</dcterms:created>
  <dcterms:modified xsi:type="dcterms:W3CDTF">2021-04-03T13:19:00Z</dcterms:modified>
</cp:coreProperties>
</file>